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asks.xml" ContentType="application/vnd.ms-office.documenttask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CC069A" w14:textId="47B41C20" w:rsidR="004937F7" w:rsidRPr="00971739" w:rsidRDefault="733946CC" w:rsidP="52F55621">
      <w:pPr>
        <w:spacing w:after="0" w:line="276" w:lineRule="auto"/>
        <w:jc w:val="both"/>
        <w:rPr>
          <w:rFonts w:ascii="Lato Light" w:eastAsia="Arial" w:hAnsi="Lato Light" w:cs="Arial"/>
          <w:color w:val="0E101A"/>
          <w:sz w:val="22"/>
          <w:szCs w:val="22"/>
          <w:lang w:val="en-GB"/>
        </w:rPr>
      </w:pPr>
      <w:r w:rsidRPr="00971739">
        <w:rPr>
          <w:rStyle w:val="Fett"/>
          <w:rFonts w:ascii="Lato Light" w:eastAsia="Arial" w:hAnsi="Lato Light" w:cs="Arial"/>
          <w:color w:val="0E101A"/>
          <w:sz w:val="22"/>
          <w:szCs w:val="22"/>
          <w:lang w:val="en-GB"/>
        </w:rPr>
        <w:t>TCL</w:t>
      </w:r>
      <w:r w:rsidR="0039088B">
        <w:rPr>
          <w:rStyle w:val="Fett"/>
          <w:rFonts w:ascii="Lato Light" w:eastAsia="Arial" w:hAnsi="Lato Light" w:cs="Arial"/>
          <w:color w:val="0E101A"/>
          <w:sz w:val="22"/>
          <w:szCs w:val="22"/>
          <w:lang w:val="en-GB"/>
        </w:rPr>
        <w:br/>
        <w:t>Press Release</w:t>
      </w:r>
    </w:p>
    <w:p w14:paraId="57373DC0" w14:textId="27DD363E" w:rsidR="004937F7" w:rsidRPr="00971739" w:rsidRDefault="733946CC" w:rsidP="52F55621">
      <w:pPr>
        <w:spacing w:line="276" w:lineRule="auto"/>
        <w:jc w:val="both"/>
        <w:rPr>
          <w:rFonts w:ascii="Lato Light" w:eastAsia="Arial" w:hAnsi="Lato Light" w:cs="Arial"/>
          <w:color w:val="FF0000"/>
          <w:sz w:val="22"/>
          <w:szCs w:val="22"/>
          <w:lang w:val="en-GB"/>
        </w:rPr>
      </w:pPr>
      <w:r w:rsidRPr="00971739">
        <w:rPr>
          <w:rFonts w:ascii="Lato Light" w:eastAsia="Arial" w:hAnsi="Lato Light" w:cs="Arial"/>
          <w:b/>
          <w:bCs/>
          <w:color w:val="FF0000"/>
          <w:sz w:val="22"/>
          <w:szCs w:val="22"/>
        </w:rPr>
        <w:t xml:space="preserve">Embargoed </w:t>
      </w:r>
      <w:r w:rsidRPr="00593C83">
        <w:rPr>
          <w:rFonts w:ascii="Lato Light" w:eastAsia="Arial" w:hAnsi="Lato Light" w:cs="Arial"/>
          <w:b/>
          <w:bCs/>
          <w:color w:val="FF0000"/>
          <w:sz w:val="22"/>
          <w:szCs w:val="22"/>
          <w:highlight w:val="yellow"/>
        </w:rPr>
        <w:t>until XY, 2024, 0X:00 Paris</w:t>
      </w:r>
      <w:r w:rsidRPr="00971739">
        <w:rPr>
          <w:rFonts w:ascii="Lato Light" w:eastAsia="Arial" w:hAnsi="Lato Light" w:cs="Arial"/>
          <w:b/>
          <w:bCs/>
          <w:color w:val="FF0000"/>
          <w:sz w:val="22"/>
          <w:szCs w:val="22"/>
        </w:rPr>
        <w:t xml:space="preserve"> Time</w:t>
      </w:r>
    </w:p>
    <w:p w14:paraId="47224EFC" w14:textId="4CC30A20" w:rsidR="004937F7" w:rsidRPr="00971739" w:rsidRDefault="28A7CF9B" w:rsidP="192D3443">
      <w:pPr>
        <w:shd w:val="clear" w:color="auto" w:fill="FFFFFF" w:themeFill="background1"/>
        <w:jc w:val="center"/>
        <w:rPr>
          <w:rStyle w:val="Fett"/>
          <w:rFonts w:ascii="Lato Light" w:eastAsia="Calibri" w:hAnsi="Lato Light" w:cs="Calibri"/>
          <w:color w:val="0E101A"/>
          <w:sz w:val="36"/>
          <w:szCs w:val="36"/>
          <w:lang w:val="en-GB"/>
        </w:rPr>
      </w:pPr>
      <w:r w:rsidRPr="00971739">
        <w:rPr>
          <w:rStyle w:val="Fett"/>
          <w:rFonts w:ascii="Lato Light" w:eastAsia="Calibri" w:hAnsi="Lato Light" w:cs="Calibri"/>
          <w:color w:val="FF0000"/>
          <w:sz w:val="36"/>
          <w:szCs w:val="36"/>
          <w:lang w:val="en-GB"/>
        </w:rPr>
        <w:t>TCL</w:t>
      </w:r>
      <w:r w:rsidRPr="00971739">
        <w:rPr>
          <w:rStyle w:val="Fett"/>
          <w:rFonts w:ascii="Lato Light" w:eastAsia="Calibri" w:hAnsi="Lato Light" w:cs="Calibri"/>
          <w:color w:val="0E101A"/>
          <w:sz w:val="36"/>
          <w:szCs w:val="36"/>
          <w:lang w:val="en-GB"/>
        </w:rPr>
        <w:t xml:space="preserve"> </w:t>
      </w:r>
      <w:r w:rsidR="539B15D8" w:rsidRPr="00971739">
        <w:rPr>
          <w:rStyle w:val="Fett"/>
          <w:rFonts w:ascii="Lato Light" w:eastAsia="Calibri" w:hAnsi="Lato Light" w:cs="Calibri"/>
          <w:color w:val="0E101A"/>
          <w:sz w:val="36"/>
          <w:szCs w:val="36"/>
          <w:lang w:val="en-GB"/>
        </w:rPr>
        <w:t>Highlights Sustainable Progress and Innovations Following Earth Day Celebrations</w:t>
      </w:r>
      <w:r w:rsidR="35E98B33" w:rsidRPr="00971739">
        <w:rPr>
          <w:rStyle w:val="Fett"/>
          <w:rFonts w:ascii="Lato Light" w:eastAsia="Calibri" w:hAnsi="Lato Light" w:cs="Calibri"/>
          <w:color w:val="0E101A"/>
          <w:sz w:val="36"/>
          <w:szCs w:val="36"/>
          <w:lang w:val="en-GB"/>
        </w:rPr>
        <w:t xml:space="preserve"> and </w:t>
      </w:r>
      <w:r w:rsidR="0A315146" w:rsidRPr="00971739">
        <w:rPr>
          <w:rStyle w:val="Fett"/>
          <w:rFonts w:ascii="Lato Light" w:eastAsia="Calibri" w:hAnsi="Lato Light" w:cs="Calibri"/>
          <w:color w:val="0E101A"/>
          <w:sz w:val="36"/>
          <w:szCs w:val="36"/>
          <w:lang w:val="en-GB"/>
        </w:rPr>
        <w:t>Announces</w:t>
      </w:r>
      <w:r w:rsidR="194A86FB" w:rsidRPr="00971739">
        <w:rPr>
          <w:rStyle w:val="Fett"/>
          <w:rFonts w:ascii="Lato Light" w:eastAsia="Calibri" w:hAnsi="Lato Light" w:cs="Calibri"/>
          <w:color w:val="0E101A"/>
          <w:sz w:val="36"/>
          <w:szCs w:val="36"/>
          <w:lang w:val="en-GB"/>
        </w:rPr>
        <w:t xml:space="preserve"> the</w:t>
      </w:r>
      <w:r w:rsidR="0A315146" w:rsidRPr="00971739">
        <w:rPr>
          <w:rStyle w:val="Fett"/>
          <w:rFonts w:ascii="Lato Light" w:eastAsia="Calibri" w:hAnsi="Lato Light" w:cs="Calibri"/>
          <w:color w:val="0E101A"/>
          <w:sz w:val="36"/>
          <w:szCs w:val="36"/>
          <w:lang w:val="en-GB"/>
        </w:rPr>
        <w:t xml:space="preserve"> Availability of</w:t>
      </w:r>
      <w:r w:rsidR="539B15D8" w:rsidRPr="00971739">
        <w:rPr>
          <w:rStyle w:val="Fett"/>
          <w:rFonts w:ascii="Lato Light" w:eastAsia="Calibri" w:hAnsi="Lato Light" w:cs="Calibri"/>
          <w:color w:val="0E101A"/>
          <w:sz w:val="36"/>
          <w:szCs w:val="36"/>
          <w:lang w:val="en-GB"/>
        </w:rPr>
        <w:t xml:space="preserve"> </w:t>
      </w:r>
      <w:r w:rsidR="00C97E78" w:rsidRPr="00971739">
        <w:rPr>
          <w:rStyle w:val="Fett"/>
          <w:rFonts w:ascii="Lato Light" w:eastAsia="Calibri" w:hAnsi="Lato Light" w:cs="Calibri"/>
          <w:color w:val="0E101A"/>
          <w:sz w:val="36"/>
          <w:szCs w:val="36"/>
          <w:lang w:val="en-GB"/>
        </w:rPr>
        <w:t xml:space="preserve">2023 </w:t>
      </w:r>
      <w:r w:rsidR="539B15D8" w:rsidRPr="00971739">
        <w:rPr>
          <w:rStyle w:val="Fett"/>
          <w:rFonts w:ascii="Lato Light" w:eastAsia="Calibri" w:hAnsi="Lato Light" w:cs="Calibri"/>
          <w:color w:val="0E101A"/>
          <w:sz w:val="36"/>
          <w:szCs w:val="36"/>
          <w:lang w:val="en-GB"/>
        </w:rPr>
        <w:t>ESG Report</w:t>
      </w:r>
    </w:p>
    <w:p w14:paraId="3DF80B88" w14:textId="2C721C47" w:rsidR="004937F7" w:rsidRPr="00971739" w:rsidRDefault="7E0A860D" w:rsidP="192D3443">
      <w:pPr>
        <w:shd w:val="clear" w:color="auto" w:fill="FFFFFF" w:themeFill="background1"/>
        <w:jc w:val="center"/>
      </w:pPr>
      <w:r w:rsidRPr="00971739">
        <w:rPr>
          <w:noProof/>
        </w:rPr>
        <w:drawing>
          <wp:inline distT="0" distB="0" distL="0" distR="0" wp14:anchorId="169E5FF5" wp14:editId="56D5916F">
            <wp:extent cx="2886075" cy="2886075"/>
            <wp:effectExtent l="0" t="0" r="0" b="0"/>
            <wp:docPr id="1383068517" name="Grafik 1383068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83068517"/>
                    <pic:cNvPicPr/>
                  </pic:nvPicPr>
                  <pic:blipFill>
                    <a:blip r:embed="rId10">
                      <a:extLst>
                        <a:ext uri="{28A0092B-C50C-407E-A947-70E740481C1C}">
                          <a14:useLocalDpi xmlns:a14="http://schemas.microsoft.com/office/drawing/2010/main" val="0"/>
                        </a:ext>
                      </a:extLst>
                    </a:blip>
                    <a:stretch>
                      <a:fillRect/>
                    </a:stretch>
                  </pic:blipFill>
                  <pic:spPr>
                    <a:xfrm>
                      <a:off x="0" y="0"/>
                      <a:ext cx="2886075" cy="2886075"/>
                    </a:xfrm>
                    <a:prstGeom prst="rect">
                      <a:avLst/>
                    </a:prstGeom>
                  </pic:spPr>
                </pic:pic>
              </a:graphicData>
            </a:graphic>
          </wp:inline>
        </w:drawing>
      </w:r>
      <w:r w:rsidRPr="00971739">
        <w:rPr>
          <w:rStyle w:val="Fett"/>
          <w:rFonts w:ascii="Lato Light" w:eastAsia="Calibri" w:hAnsi="Lato Light" w:cs="Calibri"/>
          <w:color w:val="0E101A"/>
          <w:sz w:val="40"/>
          <w:szCs w:val="40"/>
          <w:lang w:val="en-GB"/>
        </w:rPr>
        <w:t xml:space="preserve"> </w:t>
      </w:r>
      <w:r w:rsidR="1EC1C737" w:rsidRPr="00971739">
        <w:rPr>
          <w:noProof/>
        </w:rPr>
        <w:drawing>
          <wp:inline distT="0" distB="0" distL="0" distR="0" wp14:anchorId="20A2B8B5" wp14:editId="3C518B63">
            <wp:extent cx="2138179" cy="2887930"/>
            <wp:effectExtent l="0" t="0" r="0" b="0"/>
            <wp:docPr id="1820917906" name="图片 1820917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38179" cy="2887930"/>
                    </a:xfrm>
                    <a:prstGeom prst="rect">
                      <a:avLst/>
                    </a:prstGeom>
                  </pic:spPr>
                </pic:pic>
              </a:graphicData>
            </a:graphic>
          </wp:inline>
        </w:drawing>
      </w:r>
    </w:p>
    <w:p w14:paraId="5602B80C" w14:textId="2E2B1DDF" w:rsidR="0039088B" w:rsidRPr="0039088B" w:rsidRDefault="59512EC8" w:rsidP="0A4D5F56">
      <w:pPr>
        <w:spacing w:after="0"/>
        <w:rPr>
          <w:rFonts w:ascii="Lato Light" w:eastAsia="Lato Light" w:hAnsi="Lato Light" w:cs="Lato Light"/>
          <w:sz w:val="20"/>
          <w:szCs w:val="20"/>
          <w:lang w:val="en-GB"/>
        </w:rPr>
      </w:pPr>
      <w:r>
        <w:br/>
      </w:r>
      <w:r w:rsidR="0A4D5F56" w:rsidRPr="0A4D5F56">
        <w:rPr>
          <w:rFonts w:ascii="Lato Light" w:eastAsia="Lato Light" w:hAnsi="Lato Light" w:cs="Lato Light"/>
          <w:color w:val="242424"/>
          <w:sz w:val="20"/>
          <w:szCs w:val="20"/>
          <w:lang w:val="en-GB"/>
        </w:rPr>
        <w:t xml:space="preserve">Paris – </w:t>
      </w:r>
      <w:r w:rsidR="0A4D5F56" w:rsidRPr="0A4D5F56">
        <w:rPr>
          <w:rFonts w:ascii="Lato Light" w:eastAsia="Lato Light" w:hAnsi="Lato Light" w:cs="Lato Light"/>
          <w:color w:val="242424"/>
          <w:sz w:val="20"/>
          <w:szCs w:val="20"/>
          <w:highlight w:val="yellow"/>
          <w:lang w:val="en-GB"/>
        </w:rPr>
        <w:t>XX MAY 2024</w:t>
      </w:r>
      <w:r w:rsidR="0A4D5F56" w:rsidRPr="0A4D5F56">
        <w:rPr>
          <w:rFonts w:ascii="Lato Light" w:eastAsia="Lato Light" w:hAnsi="Lato Light" w:cs="Lato Light"/>
          <w:color w:val="242424"/>
          <w:sz w:val="20"/>
          <w:szCs w:val="20"/>
          <w:lang w:val="en-GB"/>
        </w:rPr>
        <w:t xml:space="preserve"> – </w:t>
      </w:r>
      <w:r w:rsidR="0A4D5F56" w:rsidRPr="0A4D5F56">
        <w:rPr>
          <w:rFonts w:ascii="Lato Light" w:hAnsi="Lato Light"/>
          <w:color w:val="000000" w:themeColor="text1"/>
          <w:sz w:val="20"/>
          <w:szCs w:val="20"/>
          <w:lang w:val="en-GB"/>
        </w:rPr>
        <w:t>TCL Electronics, a leading consumer electronics brand and the world's top two TV brand, recently launched its 2023 ESG report, detailing the milestones reached on TCL's sustainability journey to date and its vision for the future.</w:t>
      </w:r>
      <w:r>
        <w:br/>
      </w:r>
      <w:r>
        <w:br/>
      </w:r>
      <w:r w:rsidR="0A4D5F56" w:rsidRPr="0A4D5F56">
        <w:rPr>
          <w:rFonts w:ascii="Lato Light" w:hAnsi="Lato Light"/>
          <w:color w:val="FF0000"/>
          <w:sz w:val="20"/>
          <w:szCs w:val="20"/>
          <w:lang w:val="en-GB"/>
        </w:rPr>
        <w:t>DRIVING DOWN ENVIRONMENTAL IMPACT WITH MEASURABLE GOALS</w:t>
      </w:r>
      <w:r>
        <w:br/>
      </w:r>
      <w:r w:rsidR="0A4D5F56" w:rsidRPr="0A4D5F56">
        <w:rPr>
          <w:rFonts w:ascii="Lato Light" w:eastAsia="Lato Light" w:hAnsi="Lato Light" w:cs="Lato Light"/>
          <w:color w:val="000000" w:themeColor="text1"/>
          <w:sz w:val="20"/>
          <w:szCs w:val="20"/>
          <w:lang w:val="en-GB"/>
        </w:rPr>
        <w:t xml:space="preserve">TCL doesn’t just deliver endless entertainment and smart home appliances but is committed to go well beyond to making the earth a better place to live through responsible environmental stewardship. </w:t>
      </w:r>
      <w:r>
        <w:br/>
      </w:r>
      <w:r>
        <w:br/>
      </w:r>
      <w:r w:rsidR="0A4D5F56" w:rsidRPr="0A4D5F56">
        <w:rPr>
          <w:rFonts w:ascii="Lato Light" w:eastAsia="system-ui" w:hAnsi="Lato Light" w:cs="system-ui"/>
          <w:b/>
          <w:bCs/>
          <w:sz w:val="20"/>
          <w:szCs w:val="20"/>
          <w:lang w:val="en-GB"/>
        </w:rPr>
        <w:t>Environmental targets</w:t>
      </w:r>
      <w:r>
        <w:br/>
      </w:r>
      <w:r w:rsidR="0A4D5F56" w:rsidRPr="0A4D5F56">
        <w:rPr>
          <w:rFonts w:ascii="Lato Light" w:eastAsia="Lato Light" w:hAnsi="Lato Light" w:cs="Lato Light"/>
          <w:sz w:val="20"/>
          <w:szCs w:val="20"/>
          <w:lang w:val="en-GB"/>
        </w:rPr>
        <w:t xml:space="preserve">Taking into account the actual situations and the need for development, TCL has set more actionable targets in emission reduction, resource utilisation, and other aspects to drive sustained progress and achievements in environmental protection. </w:t>
      </w:r>
      <w:r>
        <w:br/>
      </w:r>
      <w:r w:rsidR="0A4D5F56" w:rsidRPr="0A4D5F56">
        <w:rPr>
          <w:rFonts w:ascii="Lato Light" w:eastAsia="Lato Light" w:hAnsi="Lato Light" w:cs="Lato Light"/>
          <w:sz w:val="20"/>
          <w:szCs w:val="20"/>
          <w:lang w:val="en-GB"/>
        </w:rPr>
        <w:t xml:space="preserve">To achieve environmental targets, TCL has further refined the fundamental objectives and emission reduction targets for different departments. By clarifying management responsibilities and authorities and conducting regular assessments and performance evaluations, TCL can better track and evaluate the </w:t>
      </w:r>
      <w:r w:rsidR="0A4D5F56" w:rsidRPr="0A4D5F56">
        <w:rPr>
          <w:rFonts w:ascii="Lato Light" w:eastAsia="Lato Light" w:hAnsi="Lato Light" w:cs="Lato Light"/>
          <w:sz w:val="20"/>
          <w:szCs w:val="20"/>
          <w:lang w:val="en-GB"/>
        </w:rPr>
        <w:lastRenderedPageBreak/>
        <w:t>environmental achievements of each department, thereby ensuring the effective implementation of its environmental strategy.</w:t>
      </w:r>
      <w:r>
        <w:br/>
      </w:r>
    </w:p>
    <w:p w14:paraId="43DF7694" w14:textId="77777777" w:rsidR="008B7C4F" w:rsidRDefault="0A4D5F56" w:rsidP="0A4D5F56">
      <w:pPr>
        <w:spacing w:after="0"/>
      </w:pPr>
      <w:r w:rsidRPr="0A4D5F56">
        <w:rPr>
          <w:rFonts w:ascii="Lato Light" w:eastAsia="Lato Light" w:hAnsi="Lato Light" w:cs="Lato Light"/>
          <w:b/>
          <w:bCs/>
          <w:sz w:val="20"/>
          <w:szCs w:val="20"/>
          <w:lang w:val="en-GB"/>
        </w:rPr>
        <w:t xml:space="preserve">Taking Climate Actions </w:t>
      </w:r>
      <w:r w:rsidR="59512EC8">
        <w:br/>
      </w:r>
      <w:r w:rsidRPr="0A4D5F56">
        <w:rPr>
          <w:rFonts w:ascii="Lato Light" w:eastAsia="Lato Light" w:hAnsi="Lato Light" w:cs="Lato Light"/>
          <w:sz w:val="20"/>
          <w:szCs w:val="20"/>
          <w:lang w:val="en-GB"/>
        </w:rPr>
        <w:t xml:space="preserve">TCL has established and followed a carbon management system and has engaged in emission and energy management efforts to minimise greenhouse gas emissions and address the challenges posed by climate change. </w:t>
      </w:r>
    </w:p>
    <w:p w14:paraId="79763199" w14:textId="77777777" w:rsidR="008B7C4F" w:rsidRDefault="008B7C4F" w:rsidP="0A4D5F56">
      <w:pPr>
        <w:spacing w:after="0"/>
        <w:rPr>
          <w:rFonts w:ascii="Lato Light" w:eastAsia="Lato Light" w:hAnsi="Lato Light" w:cs="Lato Light"/>
          <w:b/>
          <w:bCs/>
          <w:sz w:val="20"/>
          <w:szCs w:val="20"/>
          <w:lang w:val="en-GB"/>
        </w:rPr>
      </w:pPr>
    </w:p>
    <w:p w14:paraId="5BAC50E3" w14:textId="6ED4EC32" w:rsidR="0039088B" w:rsidRPr="008B7C4F" w:rsidRDefault="0A4D5F56" w:rsidP="0A4D5F56">
      <w:pPr>
        <w:spacing w:after="0"/>
      </w:pPr>
      <w:r w:rsidRPr="0A4D5F56">
        <w:rPr>
          <w:rFonts w:ascii="Lato Light" w:eastAsia="Lato Light" w:hAnsi="Lato Light" w:cs="Lato Light"/>
          <w:b/>
          <w:bCs/>
          <w:sz w:val="20"/>
          <w:szCs w:val="20"/>
          <w:lang w:val="en-GB"/>
        </w:rPr>
        <w:t>Promoting Circular Economy</w:t>
      </w:r>
      <w:r w:rsidR="59512EC8">
        <w:br/>
      </w:r>
      <w:r w:rsidRPr="0A4D5F56">
        <w:rPr>
          <w:rFonts w:ascii="Lato Light" w:eastAsia="Lato Light" w:hAnsi="Lato Light" w:cs="Lato Light"/>
          <w:sz w:val="20"/>
          <w:szCs w:val="20"/>
          <w:lang w:val="en-GB"/>
        </w:rPr>
        <w:t>TCL persistently strengthens waste management by optimising treatment procedures and enhancing recycling rates. TCL strives to achieve maximal resource utilisation and focus on advancing electronic waste recovery as we vigorously promote circular economy and contribute to environmental conservation and sustainable development.</w:t>
      </w:r>
    </w:p>
    <w:p w14:paraId="3511C3A7" w14:textId="7F402A86" w:rsidR="0039088B" w:rsidRPr="0039088B" w:rsidRDefault="0039088B" w:rsidP="192D3443">
      <w:pPr>
        <w:rPr>
          <w:rFonts w:ascii="Lato Light" w:eastAsia="Lato Light" w:hAnsi="Lato Light" w:cs="Lato Light"/>
          <w:sz w:val="20"/>
          <w:szCs w:val="20"/>
        </w:rPr>
      </w:pPr>
    </w:p>
    <w:p w14:paraId="137263B7" w14:textId="77777777" w:rsidR="008B7C4F" w:rsidRPr="008B7C4F" w:rsidRDefault="0A4D5F56" w:rsidP="008B7C4F">
      <w:pPr>
        <w:rPr>
          <w:lang w:val="en-GB"/>
        </w:rPr>
      </w:pPr>
      <w:r w:rsidRPr="0A4D5F56">
        <w:rPr>
          <w:rFonts w:ascii="Lato Light" w:hAnsi="Lato Light"/>
          <w:color w:val="FF0000"/>
          <w:sz w:val="20"/>
          <w:szCs w:val="20"/>
          <w:lang w:val="en-GB"/>
        </w:rPr>
        <w:t>TCL FOR GREEN ENERGY</w:t>
      </w:r>
      <w:r w:rsidR="0039088B">
        <w:br/>
      </w:r>
      <w:r w:rsidRPr="0A4D5F56">
        <w:rPr>
          <w:rFonts w:ascii="Lato Light" w:eastAsia="Lato Light" w:hAnsi="Lato Light" w:cs="Lato Light"/>
          <w:color w:val="242424"/>
          <w:sz w:val="20"/>
          <w:szCs w:val="20"/>
          <w:lang w:val="en-GB"/>
        </w:rPr>
        <w:t>TCL is deeply committed to advancing clean energy initiatives. The company contributes to the growth of solar energy solutions through significant investment in the photovoltaics sector. TCL's efforts in this area are part of a broader environmental strategy to support sustainable energy developments and ecological preservation. These initiatives align with TCL's mission to foster environmental responsibility across its global operations.</w:t>
      </w:r>
    </w:p>
    <w:p w14:paraId="06225A31" w14:textId="77777777" w:rsidR="008B7C4F" w:rsidRPr="008B7C4F" w:rsidRDefault="008B7C4F" w:rsidP="008B7C4F">
      <w:pPr>
        <w:rPr>
          <w:rFonts w:ascii="Lato Light" w:hAnsi="Lato Light"/>
          <w:sz w:val="20"/>
          <w:szCs w:val="20"/>
          <w:lang w:val="en-GB"/>
        </w:rPr>
      </w:pPr>
    </w:p>
    <w:p w14:paraId="6B650917" w14:textId="266830BC" w:rsidR="003B4522" w:rsidRPr="00971739" w:rsidRDefault="293CF532" w:rsidP="008B7C4F">
      <w:pPr>
        <w:rPr>
          <w:rFonts w:ascii="Lato Light" w:eastAsia="Lato Light" w:hAnsi="Lato Light" w:cs="Lato Light"/>
          <w:sz w:val="20"/>
          <w:szCs w:val="20"/>
          <w:lang w:val="en-GB"/>
        </w:rPr>
      </w:pPr>
      <w:r w:rsidRPr="00971739">
        <w:rPr>
          <w:rFonts w:ascii="Lato Light" w:hAnsi="Lato Light"/>
          <w:color w:val="FF0000"/>
          <w:sz w:val="20"/>
          <w:szCs w:val="20"/>
          <w:lang w:val="en-GB"/>
        </w:rPr>
        <w:t>U</w:t>
      </w:r>
      <w:r w:rsidR="3E6DBF34" w:rsidRPr="00971739">
        <w:rPr>
          <w:rFonts w:ascii="Lato Light" w:hAnsi="Lato Light"/>
          <w:color w:val="FF0000"/>
          <w:sz w:val="20"/>
          <w:szCs w:val="20"/>
          <w:lang w:val="en-GB"/>
        </w:rPr>
        <w:t xml:space="preserve">NWAVERING </w:t>
      </w:r>
      <w:r w:rsidR="00971739" w:rsidRPr="00971739">
        <w:rPr>
          <w:rFonts w:ascii="Lato Light" w:hAnsi="Lato Light"/>
          <w:color w:val="FF0000"/>
          <w:sz w:val="20"/>
          <w:szCs w:val="20"/>
          <w:lang w:val="en-GB"/>
        </w:rPr>
        <w:t>DEDICATION TO GOVERNANCE AND ENVIRONMENTAL STEWARDSHIP</w:t>
      </w:r>
    </w:p>
    <w:p w14:paraId="73B68276" w14:textId="58E4C860" w:rsidR="003B4522" w:rsidRPr="00971739" w:rsidRDefault="0A4D5F56" w:rsidP="192D3443">
      <w:pPr>
        <w:rPr>
          <w:rFonts w:ascii="Lato Light" w:eastAsia="Lato Light" w:hAnsi="Lato Light" w:cs="Lato Light"/>
          <w:color w:val="242424"/>
          <w:sz w:val="20"/>
          <w:szCs w:val="20"/>
          <w:lang w:val="en-GB"/>
        </w:rPr>
      </w:pPr>
      <w:r w:rsidRPr="0A4D5F56">
        <w:rPr>
          <w:rFonts w:ascii="Lato Light" w:eastAsia="Lato Light" w:hAnsi="Lato Light" w:cs="Lato Light"/>
          <w:color w:val="242424"/>
          <w:sz w:val="20"/>
          <w:szCs w:val="20"/>
          <w:lang w:val="en-GB"/>
        </w:rPr>
        <w:t>TCL takes responsible governance as an important corporate belief. The company strictly complies with both domestic and foreign laws and regulations, always keeps a close eye on corporate risk management, abides by business ethics, improves the governance of the Group, and promotes the Group’s continued healthy development. TCL persistently builds a sustainable supply chain, promotes the industry’s sound and stable development, and cooperates with business partners to establish a shared future for ecological development. In each local market, TCL not only meets but also strives to exceed regulatory expectations, fostering new initiatives together with clients to further CSR objectives.</w:t>
      </w:r>
    </w:p>
    <w:p w14:paraId="32291F91" w14:textId="2E95A052" w:rsidR="003B4522" w:rsidRPr="00971739" w:rsidRDefault="02AC750D" w:rsidP="192D3443">
      <w:pPr>
        <w:spacing w:after="0"/>
        <w:rPr>
          <w:rFonts w:ascii="Lato Light" w:eastAsia="Lato Light" w:hAnsi="Lato Light" w:cs="Lato Light"/>
          <w:sz w:val="20"/>
          <w:szCs w:val="20"/>
          <w:lang w:val="en-GB"/>
        </w:rPr>
      </w:pPr>
      <w:r w:rsidRPr="00971739">
        <w:rPr>
          <w:rFonts w:ascii="Lato Light" w:hAnsi="Lato Light"/>
          <w:b/>
          <w:bCs/>
          <w:color w:val="242424"/>
          <w:sz w:val="20"/>
          <w:szCs w:val="20"/>
          <w:lang w:val="en-GB"/>
        </w:rPr>
        <w:t>E</w:t>
      </w:r>
      <w:r w:rsidR="6789B26F" w:rsidRPr="00971739">
        <w:rPr>
          <w:rFonts w:ascii="Lato Light" w:hAnsi="Lato Light"/>
          <w:b/>
          <w:bCs/>
          <w:color w:val="242424"/>
          <w:sz w:val="20"/>
          <w:szCs w:val="20"/>
          <w:lang w:val="en-GB"/>
        </w:rPr>
        <w:t>xternal Accolades and Certifications</w:t>
      </w:r>
      <w:r w:rsidR="003B4522" w:rsidRPr="00971739">
        <w:br/>
      </w:r>
      <w:r w:rsidRPr="00971739">
        <w:rPr>
          <w:rFonts w:ascii="Lato Light" w:eastAsia="Lato Light" w:hAnsi="Lato Light" w:cs="Lato Light"/>
          <w:color w:val="242424"/>
          <w:sz w:val="20"/>
          <w:szCs w:val="20"/>
          <w:lang w:val="en-GB"/>
        </w:rPr>
        <w:t xml:space="preserve">TCL is constantly working to actively support and nurture customers' sustainability aspirations and achievements, as evidenced by </w:t>
      </w:r>
      <w:r w:rsidR="296B9AE4" w:rsidRPr="00971739">
        <w:rPr>
          <w:rFonts w:ascii="Lato Light" w:eastAsia="Lato Light" w:hAnsi="Lato Light" w:cs="Lato Light"/>
          <w:color w:val="242424"/>
          <w:sz w:val="20"/>
          <w:szCs w:val="20"/>
          <w:lang w:val="en-GB"/>
        </w:rPr>
        <w:t xml:space="preserve">our </w:t>
      </w:r>
      <w:r w:rsidRPr="00971739">
        <w:rPr>
          <w:rFonts w:ascii="Lato Light" w:eastAsia="Lato Light" w:hAnsi="Lato Light" w:cs="Lato Light"/>
          <w:color w:val="242424"/>
          <w:sz w:val="20"/>
          <w:szCs w:val="20"/>
          <w:lang w:val="en-GB"/>
        </w:rPr>
        <w:t>success in receiving the prestigious EcoVadis Gold Medal Award 2024.</w:t>
      </w:r>
      <w:r w:rsidR="003B4522" w:rsidRPr="00971739">
        <w:br/>
      </w:r>
      <w:r w:rsidR="003B4522" w:rsidRPr="00971739">
        <w:rPr>
          <w:rFonts w:ascii="Lato Light" w:eastAsia="Lato Light" w:hAnsi="Lato Light" w:cs="Lato Light"/>
          <w:color w:val="242424"/>
          <w:sz w:val="20"/>
          <w:szCs w:val="20"/>
          <w:lang w:val="en-GB"/>
        </w:rPr>
        <w:t>For over a decade, TCL</w:t>
      </w:r>
      <w:r w:rsidR="22D3FC23" w:rsidRPr="00971739">
        <w:rPr>
          <w:rFonts w:ascii="Lato Light" w:eastAsia="Lato Light" w:hAnsi="Lato Light" w:cs="Lato Light"/>
          <w:color w:val="242424"/>
          <w:sz w:val="20"/>
          <w:szCs w:val="20"/>
          <w:lang w:val="en-GB"/>
        </w:rPr>
        <w:t>’s mobile business</w:t>
      </w:r>
      <w:r w:rsidR="003B4522" w:rsidRPr="00971739">
        <w:rPr>
          <w:rFonts w:ascii="Lato Light" w:eastAsia="Lato Light" w:hAnsi="Lato Light" w:cs="Lato Light"/>
          <w:color w:val="242424"/>
          <w:sz w:val="20"/>
          <w:szCs w:val="20"/>
          <w:lang w:val="en-GB"/>
        </w:rPr>
        <w:t xml:space="preserve"> has been rigorously evaluated by EcoVadis, a leading provider of sustainability ratings covering Environmental policies, </w:t>
      </w:r>
      <w:r w:rsidR="008B7C4F" w:rsidRPr="00971739">
        <w:rPr>
          <w:rFonts w:ascii="Lato Light" w:eastAsia="Lato Light" w:hAnsi="Lato Light" w:cs="Lato Light"/>
          <w:color w:val="242424"/>
          <w:sz w:val="20"/>
          <w:szCs w:val="20"/>
          <w:lang w:val="en-GB"/>
        </w:rPr>
        <w:t>Labour</w:t>
      </w:r>
      <w:r w:rsidR="003B4522" w:rsidRPr="00971739">
        <w:rPr>
          <w:rFonts w:ascii="Lato Light" w:eastAsia="Lato Light" w:hAnsi="Lato Light" w:cs="Lato Light"/>
          <w:color w:val="242424"/>
          <w:sz w:val="20"/>
          <w:szCs w:val="20"/>
          <w:lang w:val="en-GB"/>
        </w:rPr>
        <w:t xml:space="preserve"> and Human Rights, Ethical Practices, and Sustainable Procurement</w:t>
      </w:r>
      <w:r w:rsidR="44E76B30" w:rsidRPr="00971739">
        <w:rPr>
          <w:rFonts w:ascii="Lato Light" w:eastAsia="Lato Light" w:hAnsi="Lato Light" w:cs="Lato Light"/>
          <w:color w:val="242424"/>
          <w:sz w:val="20"/>
          <w:szCs w:val="20"/>
          <w:lang w:val="en-GB"/>
        </w:rPr>
        <w:t xml:space="preserve">, and </w:t>
      </w:r>
      <w:r w:rsidR="0E574610" w:rsidRPr="00971739">
        <w:rPr>
          <w:rFonts w:ascii="Lato Light" w:eastAsia="Lato Light" w:hAnsi="Lato Light" w:cs="Lato Light"/>
          <w:sz w:val="20"/>
          <w:szCs w:val="20"/>
          <w:lang w:val="en-GB"/>
        </w:rPr>
        <w:t>received the Gold Medal in the EcoVadis 2024 annual rating, ranking among the top 5% of all companies participating in the evaluation.</w:t>
      </w:r>
    </w:p>
    <w:p w14:paraId="1DBF2CC6" w14:textId="02B1BA08" w:rsidR="00E578DD" w:rsidRPr="00971739" w:rsidDel="00B85D06" w:rsidRDefault="24BD971B" w:rsidP="192D3443">
      <w:pPr>
        <w:spacing w:after="0"/>
        <w:rPr>
          <w:rFonts w:ascii="Lato Light" w:eastAsia="Lato Light" w:hAnsi="Lato Light" w:cs="Lato Light"/>
          <w:sz w:val="20"/>
          <w:szCs w:val="20"/>
          <w:lang w:val="en-GB"/>
        </w:rPr>
      </w:pPr>
      <w:r w:rsidRPr="00971739">
        <w:rPr>
          <w:rFonts w:ascii="Lato Light" w:eastAsia="Lato Light" w:hAnsi="Lato Light" w:cs="Lato Light"/>
          <w:color w:val="242424"/>
          <w:sz w:val="20"/>
          <w:szCs w:val="20"/>
          <w:lang w:val="en-GB"/>
        </w:rPr>
        <w:t>Aligning with these efforts, TCL has embraced a culture of excellence, reflected in the adoption of comprehensive quality management systems and adherence to high standards that align with industry best practices for quality and sustainability. This approach demonstrates TCL’s commitment to achieving environmental excellence while maintaining operational and product quality.</w:t>
      </w:r>
    </w:p>
    <w:p w14:paraId="58E35F37" w14:textId="4343056F" w:rsidR="00E578DD" w:rsidRPr="00971739" w:rsidDel="00B85D06" w:rsidRDefault="00E578DD" w:rsidP="192D3443">
      <w:pPr>
        <w:spacing w:after="0"/>
        <w:rPr>
          <w:rFonts w:ascii="Lato Light" w:eastAsia="Lato Light" w:hAnsi="Lato Light" w:cs="Lato Light"/>
          <w:sz w:val="20"/>
          <w:szCs w:val="20"/>
          <w:lang w:val="en-GB"/>
        </w:rPr>
      </w:pPr>
    </w:p>
    <w:p w14:paraId="08977D40" w14:textId="6271945C" w:rsidR="00E578DD" w:rsidRPr="00971739" w:rsidDel="00B85D06" w:rsidRDefault="0A4D5F56" w:rsidP="0A4D5F56">
      <w:pPr>
        <w:spacing w:after="0"/>
        <w:rPr>
          <w:rFonts w:ascii="Lato Light" w:eastAsia="Lato Light" w:hAnsi="Lato Light" w:cs="Lato Light"/>
          <w:b/>
          <w:bCs/>
          <w:sz w:val="20"/>
          <w:szCs w:val="20"/>
          <w:lang w:val="en-GB"/>
        </w:rPr>
      </w:pPr>
      <w:r w:rsidRPr="0A4D5F56">
        <w:rPr>
          <w:rFonts w:ascii="Lato Light" w:eastAsia="Lato Light" w:hAnsi="Lato Light" w:cs="Lato Light"/>
          <w:b/>
          <w:bCs/>
          <w:sz w:val="20"/>
          <w:szCs w:val="20"/>
          <w:lang w:val="en-GB"/>
        </w:rPr>
        <w:t>Green Design</w:t>
      </w:r>
    </w:p>
    <w:p w14:paraId="36905774" w14:textId="4A971414" w:rsidR="00E578DD" w:rsidRPr="00971739" w:rsidDel="00B85D06" w:rsidRDefault="2FE22509" w:rsidP="192D3443">
      <w:pPr>
        <w:spacing w:after="0"/>
        <w:rPr>
          <w:rFonts w:ascii="Lato Light" w:eastAsia="Lato Light" w:hAnsi="Lato Light" w:cs="Lato Light"/>
          <w:sz w:val="20"/>
          <w:szCs w:val="20"/>
          <w:lang w:val="en-GB"/>
        </w:rPr>
      </w:pPr>
      <w:r w:rsidRPr="00971739">
        <w:rPr>
          <w:rFonts w:ascii="Lato Light" w:eastAsia="Lato Light" w:hAnsi="Lato Light" w:cs="Lato Light"/>
          <w:sz w:val="20"/>
          <w:szCs w:val="20"/>
          <w:lang w:val="en-GB"/>
        </w:rPr>
        <w:t>TCL Electronics always regards product quality as the lifeline of the enterprise.</w:t>
      </w:r>
    </w:p>
    <w:p w14:paraId="1EF8A97C" w14:textId="3589C24A" w:rsidR="00E578DD" w:rsidRPr="00971739" w:rsidDel="00B85D06" w:rsidRDefault="0A4D5F56" w:rsidP="192D3443">
      <w:pPr>
        <w:spacing w:after="0"/>
        <w:rPr>
          <w:rFonts w:ascii="Lato Light" w:eastAsia="Lato Light" w:hAnsi="Lato Light" w:cs="Lato Light"/>
          <w:sz w:val="20"/>
          <w:szCs w:val="20"/>
          <w:lang w:val="en-GB"/>
        </w:rPr>
      </w:pPr>
      <w:r w:rsidRPr="0A4D5F56">
        <w:rPr>
          <w:rFonts w:ascii="Lato Light" w:eastAsia="Lato Light" w:hAnsi="Lato Light" w:cs="Lato Light"/>
          <w:sz w:val="20"/>
          <w:szCs w:val="20"/>
          <w:lang w:val="en-GB"/>
        </w:rPr>
        <w:t>The company takes green design seriously, and constantly makes breakthroughs in making greener products with lower carbon emissions.</w:t>
      </w:r>
      <w:r w:rsidR="5DDA4A10">
        <w:br/>
      </w:r>
      <w:r w:rsidRPr="0A4D5F56">
        <w:rPr>
          <w:rFonts w:ascii="Lato Light" w:eastAsia="Lato Light" w:hAnsi="Lato Light" w:cs="Lato Light"/>
          <w:sz w:val="20"/>
          <w:szCs w:val="20"/>
          <w:lang w:val="en-GB"/>
        </w:rPr>
        <w:t>Adhering to the concept of sustainable and low-carbon design in the whole life cycle of products, TCL formulates a green product design scheme from saving resources, reducing energy consumption, using harmless, renewable and environmentally friendly materials, and saving packaging materials.</w:t>
      </w:r>
    </w:p>
    <w:p w14:paraId="15CD06A8" w14:textId="77777777" w:rsidR="008B7C4F" w:rsidRDefault="50EBC24A" w:rsidP="008B7C4F">
      <w:r w:rsidRPr="00971739">
        <w:rPr>
          <w:rFonts w:ascii="Lato Light" w:eastAsia="Lato Light" w:hAnsi="Lato Light" w:cs="Lato Light"/>
          <w:sz w:val="20"/>
          <w:szCs w:val="20"/>
          <w:lang w:val="en-GB"/>
        </w:rPr>
        <w:t xml:space="preserve">The company </w:t>
      </w:r>
      <w:r w:rsidR="2FE22509" w:rsidRPr="00971739">
        <w:rPr>
          <w:rFonts w:ascii="Lato Light" w:eastAsia="Lato Light" w:hAnsi="Lato Light" w:cs="Lato Light"/>
          <w:sz w:val="20"/>
          <w:szCs w:val="20"/>
          <w:lang w:val="en-GB"/>
        </w:rPr>
        <w:t>fully implement</w:t>
      </w:r>
      <w:r w:rsidR="4AF22549" w:rsidRPr="00971739">
        <w:rPr>
          <w:rFonts w:ascii="Lato Light" w:eastAsia="Lato Light" w:hAnsi="Lato Light" w:cs="Lato Light"/>
          <w:sz w:val="20"/>
          <w:szCs w:val="20"/>
          <w:lang w:val="en-GB"/>
        </w:rPr>
        <w:t>s</w:t>
      </w:r>
      <w:r w:rsidR="2FE22509" w:rsidRPr="00971739">
        <w:rPr>
          <w:rFonts w:ascii="Lato Light" w:eastAsia="Lato Light" w:hAnsi="Lato Light" w:cs="Lato Light"/>
          <w:sz w:val="20"/>
          <w:szCs w:val="20"/>
          <w:lang w:val="en-GB"/>
        </w:rPr>
        <w:t xml:space="preserve"> extended producer responsibility in accordance with local laws and regulations, such as the EU WEEE Directive, CE Directive and Ecodesign Directive, taking accountability for the whole life cycle of our products.</w:t>
      </w:r>
    </w:p>
    <w:p w14:paraId="0BCF8B4F" w14:textId="77777777" w:rsidR="008B7C4F" w:rsidRPr="008B7C4F" w:rsidRDefault="008B7C4F" w:rsidP="008B7C4F">
      <w:pPr>
        <w:rPr>
          <w:rFonts w:ascii="Lato Light" w:hAnsi="Lato Light" w:cs="Arial"/>
          <w:sz w:val="20"/>
          <w:szCs w:val="20"/>
          <w:shd w:val="clear" w:color="auto" w:fill="FFFFFF"/>
        </w:rPr>
      </w:pPr>
    </w:p>
    <w:p w14:paraId="72635432" w14:textId="758509A2" w:rsidR="004937F7" w:rsidRPr="008B7C4F" w:rsidRDefault="00B85D06" w:rsidP="008B7C4F">
      <w:r w:rsidRPr="00971739">
        <w:rPr>
          <w:rFonts w:ascii="Lato Light" w:hAnsi="Lato Light" w:cs="Arial"/>
          <w:color w:val="FF0000"/>
          <w:sz w:val="20"/>
          <w:szCs w:val="20"/>
          <w:shd w:val="clear" w:color="auto" w:fill="FFFFFF"/>
        </w:rPr>
        <w:t>#TCLGREEN: ART, INNOVATION, AND RESPONSIBILITY</w:t>
      </w:r>
    </w:p>
    <w:p w14:paraId="49DDBA1E" w14:textId="131C2B6E" w:rsidR="002874AA" w:rsidRPr="00971739" w:rsidRDefault="0A4D5F56" w:rsidP="6D3E2498">
      <w:pPr>
        <w:spacing w:after="0"/>
        <w:rPr>
          <w:rFonts w:ascii="Lato Light" w:eastAsia="Lato Light" w:hAnsi="Lato Light" w:cs="Lato Light"/>
          <w:color w:val="242424"/>
          <w:sz w:val="20"/>
          <w:szCs w:val="20"/>
          <w:lang w:val="en-GB"/>
        </w:rPr>
      </w:pPr>
      <w:r w:rsidRPr="0A4D5F56">
        <w:rPr>
          <w:rFonts w:ascii="Lato Light" w:eastAsia="Lato Light" w:hAnsi="Lato Light" w:cs="Lato Light"/>
          <w:color w:val="242424"/>
          <w:sz w:val="20"/>
          <w:szCs w:val="20"/>
          <w:lang w:val="en-GB"/>
        </w:rPr>
        <w:t>#TCLGreen is a global initiative by TCL to Inspire Greatness and support efforts to create a more sustainable planet for all. This tagline applies globally to help amplify the significance of sustainability efforts to local and global communities. ‘</w:t>
      </w:r>
    </w:p>
    <w:p w14:paraId="5FE32EA4" w14:textId="77777777" w:rsidR="008B7C4F" w:rsidRPr="008B7C4F" w:rsidRDefault="49AD9421" w:rsidP="192D3443">
      <w:pPr>
        <w:rPr>
          <w:rFonts w:ascii="Lato Light" w:eastAsia="Lato Light" w:hAnsi="Lato Light" w:cs="Lato Light"/>
          <w:sz w:val="20"/>
          <w:szCs w:val="20"/>
          <w:lang w:val="en-GB"/>
        </w:rPr>
      </w:pPr>
      <w:r w:rsidRPr="00971739">
        <w:rPr>
          <w:rFonts w:ascii="Lato Light" w:eastAsia="Lato Light" w:hAnsi="Lato Light" w:cs="Lato Light"/>
          <w:color w:val="242424"/>
          <w:sz w:val="20"/>
          <w:szCs w:val="20"/>
          <w:lang w:val="en-GB"/>
        </w:rPr>
        <w:t xml:space="preserve">As one example </w:t>
      </w:r>
      <w:r w:rsidR="5B681C91" w:rsidRPr="00971739">
        <w:rPr>
          <w:rFonts w:ascii="Lato Light" w:eastAsia="Lato Light" w:hAnsi="Lato Light" w:cs="Lato Light"/>
          <w:color w:val="242424"/>
          <w:sz w:val="20"/>
          <w:szCs w:val="20"/>
          <w:lang w:val="en-GB"/>
        </w:rPr>
        <w:t xml:space="preserve">TCL launched an art installation </w:t>
      </w:r>
      <w:r w:rsidRPr="00971739">
        <w:rPr>
          <w:rFonts w:ascii="Lato Light" w:eastAsia="Lato Light" w:hAnsi="Lato Light" w:cs="Lato Light"/>
          <w:color w:val="242424"/>
          <w:sz w:val="20"/>
          <w:szCs w:val="20"/>
          <w:lang w:val="en-GB"/>
        </w:rPr>
        <w:t>in collaboration with Kevin Chu,</w:t>
      </w:r>
      <w:r w:rsidR="5B681C91" w:rsidRPr="00971739">
        <w:rPr>
          <w:rFonts w:ascii="Lato Light" w:eastAsia="Lato Light" w:hAnsi="Lato Light" w:cs="Lato Light"/>
          <w:color w:val="242424"/>
          <w:sz w:val="20"/>
          <w:szCs w:val="20"/>
          <w:lang w:val="en-GB"/>
        </w:rPr>
        <w:t xml:space="preserve"> that combines physical, interactive, and metaverse art, showcasing over 1,000 upcycled circuit boards. This installation, complemented by photovoltaic technology, exemplifies TCL's dedication to creative sustainability solutions.</w:t>
      </w:r>
      <w:r w:rsidR="0039088B">
        <w:rPr>
          <w:rFonts w:ascii="Lato Light" w:eastAsia="Lato Light" w:hAnsi="Lato Light" w:cs="Lato Light"/>
          <w:color w:val="242424"/>
          <w:sz w:val="20"/>
          <w:szCs w:val="20"/>
          <w:lang w:val="en-GB"/>
        </w:rPr>
        <w:br/>
      </w:r>
      <w:r w:rsidR="002874AA" w:rsidRPr="00971739">
        <w:rPr>
          <w:rFonts w:ascii="Lato Light" w:eastAsia="Lato Light" w:hAnsi="Lato Light" w:cs="Lato Light"/>
          <w:color w:val="242424"/>
          <w:sz w:val="20"/>
          <w:szCs w:val="20"/>
          <w:lang w:val="en-GB"/>
        </w:rPr>
        <w:t>TCL is committed to the search for more responsible solutions by integrating the #TCLGreen concept into all aspects of its business and putting the consumers at the heart of our strategy.</w:t>
      </w:r>
      <w:r w:rsidR="0039088B">
        <w:rPr>
          <w:rFonts w:ascii="Lato Light" w:eastAsia="Lato Light" w:hAnsi="Lato Light" w:cs="Lato Light"/>
          <w:color w:val="242424"/>
          <w:sz w:val="20"/>
          <w:szCs w:val="20"/>
          <w:lang w:val="en-GB"/>
        </w:rPr>
        <w:br/>
      </w:r>
      <w:r w:rsidR="3D24CCB4" w:rsidRPr="00971739">
        <w:rPr>
          <w:rFonts w:ascii="Lato Light" w:eastAsia="Lato Light" w:hAnsi="Lato Light" w:cs="Lato Light"/>
          <w:color w:val="242424"/>
          <w:sz w:val="20"/>
          <w:szCs w:val="20"/>
          <w:lang w:val="en-GB"/>
        </w:rPr>
        <w:t xml:space="preserve">Through TCL’s commitment to 'Inspiring Greatness' through its wide range of electronics, beyond innovative entertainment and smart home products, TCL is enhancing its device ecosystem with sustainable and healthy features, from NXTPAPER </w:t>
      </w:r>
      <w:r w:rsidR="008B7C4F">
        <w:rPr>
          <w:rFonts w:ascii="Lato Light" w:eastAsia="Lato Light" w:hAnsi="Lato Light" w:cs="Lato Light"/>
          <w:color w:val="242424"/>
          <w:sz w:val="20"/>
          <w:szCs w:val="20"/>
          <w:lang w:val="en-GB"/>
        </w:rPr>
        <w:t xml:space="preserve">phones and </w:t>
      </w:r>
      <w:r w:rsidR="3D24CCB4" w:rsidRPr="00971739">
        <w:rPr>
          <w:rFonts w:ascii="Lato Light" w:eastAsia="Lato Light" w:hAnsi="Lato Light" w:cs="Lato Light"/>
          <w:color w:val="242424"/>
          <w:sz w:val="20"/>
          <w:szCs w:val="20"/>
          <w:lang w:val="en-GB"/>
        </w:rPr>
        <w:t xml:space="preserve">tablets to Smart TVs and </w:t>
      </w:r>
      <w:r w:rsidR="0BB17918" w:rsidRPr="00971739">
        <w:rPr>
          <w:rFonts w:ascii="Lato Light" w:eastAsia="Lato Light" w:hAnsi="Lato Light" w:cs="Lato Light"/>
          <w:color w:val="242424"/>
          <w:sz w:val="20"/>
          <w:szCs w:val="20"/>
          <w:lang w:val="en-GB"/>
        </w:rPr>
        <w:t xml:space="preserve">home </w:t>
      </w:r>
      <w:r w:rsidR="3D24CCB4" w:rsidRPr="00971739">
        <w:rPr>
          <w:rFonts w:ascii="Lato Light" w:eastAsia="Lato Light" w:hAnsi="Lato Light" w:cs="Lato Light"/>
          <w:color w:val="242424"/>
          <w:sz w:val="20"/>
          <w:szCs w:val="20"/>
          <w:lang w:val="en-GB"/>
        </w:rPr>
        <w:t>appliances, promoting a smarter, healthier lifestyle for consumers worldwide.</w:t>
      </w:r>
      <w:bookmarkStart w:id="0" w:name="_GoBack"/>
    </w:p>
    <w:p w14:paraId="59BFD6F9" w14:textId="77777777" w:rsidR="008B7C4F" w:rsidRPr="008B7C4F" w:rsidRDefault="008B7C4F" w:rsidP="192D3443">
      <w:pPr>
        <w:rPr>
          <w:rFonts w:ascii="Lato Light" w:hAnsi="Lato Light" w:cs="Arial"/>
          <w:sz w:val="20"/>
          <w:szCs w:val="20"/>
          <w:shd w:val="clear" w:color="auto" w:fill="FFFFFF"/>
          <w:lang w:val="en-GB"/>
        </w:rPr>
      </w:pPr>
    </w:p>
    <w:bookmarkEnd w:id="0"/>
    <w:p w14:paraId="2AEAC95D" w14:textId="29812046" w:rsidR="0039088B" w:rsidRPr="008B7C4F" w:rsidRDefault="009171FC" w:rsidP="192D3443">
      <w:r w:rsidRPr="00971739">
        <w:rPr>
          <w:rFonts w:ascii="Lato Light" w:hAnsi="Lato Light" w:cs="Arial"/>
          <w:color w:val="FF0000"/>
          <w:sz w:val="20"/>
          <w:szCs w:val="20"/>
          <w:shd w:val="clear" w:color="auto" w:fill="FFFFFF"/>
        </w:rPr>
        <w:t>LOOKING FORWARD: TCL'S ESG GOALS</w:t>
      </w:r>
      <w:r w:rsidR="0039088B">
        <w:rPr>
          <w:rFonts w:ascii="Lato Light" w:hAnsi="Lato Light" w:cs="Arial"/>
          <w:color w:val="FF0000"/>
          <w:sz w:val="20"/>
          <w:szCs w:val="20"/>
          <w:shd w:val="clear" w:color="auto" w:fill="FFFFFF"/>
        </w:rPr>
        <w:br/>
      </w:r>
      <w:r w:rsidR="020E460F" w:rsidRPr="00971739">
        <w:rPr>
          <w:rFonts w:ascii="Lato Light" w:eastAsia="Lato Light" w:hAnsi="Lato Light" w:cs="Lato Light"/>
          <w:sz w:val="20"/>
          <w:szCs w:val="20"/>
          <w:lang w:val="en-GB"/>
        </w:rPr>
        <w:t xml:space="preserve">TCL Electronics has never stopped and always strived for progress on the journey of sustainability. While providing healthy, accessible and green products of high quality, </w:t>
      </w:r>
      <w:r w:rsidR="14BCF659" w:rsidRPr="00971739">
        <w:rPr>
          <w:rFonts w:ascii="Lato Light" w:eastAsia="Lato Light" w:hAnsi="Lato Light" w:cs="Lato Light"/>
          <w:sz w:val="20"/>
          <w:szCs w:val="20"/>
          <w:lang w:val="en-GB"/>
        </w:rPr>
        <w:t xml:space="preserve">TCL </w:t>
      </w:r>
      <w:r w:rsidR="020E460F" w:rsidRPr="00971739">
        <w:rPr>
          <w:rFonts w:ascii="Lato Light" w:eastAsia="Lato Light" w:hAnsi="Lato Light" w:cs="Lato Light"/>
          <w:sz w:val="20"/>
          <w:szCs w:val="20"/>
          <w:lang w:val="en-GB"/>
        </w:rPr>
        <w:t>keep</w:t>
      </w:r>
      <w:r w:rsidR="01B7E7A2" w:rsidRPr="00971739">
        <w:rPr>
          <w:rFonts w:ascii="Lato Light" w:eastAsia="Lato Light" w:hAnsi="Lato Light" w:cs="Lato Light"/>
          <w:sz w:val="20"/>
          <w:szCs w:val="20"/>
          <w:lang w:val="en-GB"/>
        </w:rPr>
        <w:t>s</w:t>
      </w:r>
      <w:r w:rsidR="020E460F" w:rsidRPr="00971739">
        <w:rPr>
          <w:rFonts w:ascii="Lato Light" w:eastAsia="Lato Light" w:hAnsi="Lato Light" w:cs="Lato Light"/>
          <w:sz w:val="20"/>
          <w:szCs w:val="20"/>
          <w:lang w:val="en-GB"/>
        </w:rPr>
        <w:t xml:space="preserve"> improving </w:t>
      </w:r>
      <w:r w:rsidR="008B7C4F">
        <w:rPr>
          <w:rFonts w:ascii="Lato Light" w:eastAsia="Lato Light" w:hAnsi="Lato Light" w:cs="Lato Light"/>
          <w:sz w:val="20"/>
          <w:szCs w:val="20"/>
          <w:lang w:val="en-GB"/>
        </w:rPr>
        <w:t>sustainable</w:t>
      </w:r>
      <w:r w:rsidR="020E460F" w:rsidRPr="00971739">
        <w:rPr>
          <w:rFonts w:ascii="Lato Light" w:eastAsia="Lato Light" w:hAnsi="Lato Light" w:cs="Lato Light"/>
          <w:sz w:val="20"/>
          <w:szCs w:val="20"/>
          <w:lang w:val="en-GB"/>
        </w:rPr>
        <w:t xml:space="preserve"> and low-carbon development, actively expand</w:t>
      </w:r>
      <w:r w:rsidR="32AAA8D4" w:rsidRPr="00971739">
        <w:rPr>
          <w:rFonts w:ascii="Lato Light" w:eastAsia="Lato Light" w:hAnsi="Lato Light" w:cs="Lato Light"/>
          <w:sz w:val="20"/>
          <w:szCs w:val="20"/>
          <w:lang w:val="en-GB"/>
        </w:rPr>
        <w:t>s its</w:t>
      </w:r>
      <w:r w:rsidR="020E460F" w:rsidRPr="00971739">
        <w:rPr>
          <w:rFonts w:ascii="Lato Light" w:eastAsia="Lato Light" w:hAnsi="Lato Light" w:cs="Lato Light"/>
          <w:sz w:val="20"/>
          <w:szCs w:val="20"/>
          <w:lang w:val="en-GB"/>
        </w:rPr>
        <w:t xml:space="preserve"> clean energy business, and endeavour to drive the development of responsible supply chain system.</w:t>
      </w:r>
    </w:p>
    <w:p w14:paraId="458D6623" w14:textId="55E7711A" w:rsidR="009171FC" w:rsidRPr="003F2FC0" w:rsidRDefault="020E460F" w:rsidP="192D3443">
      <w:pPr>
        <w:rPr>
          <w:rFonts w:ascii="Lato Light" w:eastAsia="Lato Light" w:hAnsi="Lato Light" w:cs="Lato Light"/>
          <w:color w:val="242424"/>
          <w:sz w:val="20"/>
          <w:szCs w:val="20"/>
          <w:lang w:val="en-GB"/>
        </w:rPr>
      </w:pPr>
      <w:r w:rsidRPr="003F2FC0">
        <w:rPr>
          <w:rFonts w:ascii="Lato Light" w:eastAsia="Lato Light" w:hAnsi="Lato Light" w:cs="Lato Light"/>
          <w:color w:val="242424"/>
          <w:sz w:val="20"/>
          <w:szCs w:val="20"/>
          <w:lang w:val="en-GB"/>
        </w:rPr>
        <w:t xml:space="preserve">In addition, </w:t>
      </w:r>
      <w:r w:rsidR="6D5C3B50" w:rsidRPr="003F2FC0">
        <w:rPr>
          <w:rFonts w:ascii="Lato Light" w:eastAsia="Lato Light" w:hAnsi="Lato Light" w:cs="Lato Light"/>
          <w:color w:val="242424"/>
          <w:sz w:val="20"/>
          <w:szCs w:val="20"/>
          <w:lang w:val="en-GB"/>
        </w:rPr>
        <w:t>the company has</w:t>
      </w:r>
      <w:r w:rsidRPr="003F2FC0">
        <w:rPr>
          <w:rFonts w:ascii="Lato Light" w:eastAsia="Lato Light" w:hAnsi="Lato Light" w:cs="Lato Light"/>
          <w:color w:val="242424"/>
          <w:sz w:val="20"/>
          <w:szCs w:val="20"/>
          <w:lang w:val="en-GB"/>
        </w:rPr>
        <w:t xml:space="preserve"> built a diversified, fair, open and inclusive workplace and tr</w:t>
      </w:r>
      <w:r w:rsidR="39113F38" w:rsidRPr="003F2FC0">
        <w:rPr>
          <w:rFonts w:ascii="Lato Light" w:eastAsia="Lato Light" w:hAnsi="Lato Light" w:cs="Lato Light"/>
          <w:color w:val="242424"/>
          <w:sz w:val="20"/>
          <w:szCs w:val="20"/>
          <w:lang w:val="en-GB"/>
        </w:rPr>
        <w:t>ies</w:t>
      </w:r>
      <w:r w:rsidRPr="003F2FC0">
        <w:rPr>
          <w:rFonts w:ascii="Lato Light" w:eastAsia="Lato Light" w:hAnsi="Lato Light" w:cs="Lato Light"/>
          <w:color w:val="242424"/>
          <w:sz w:val="20"/>
          <w:szCs w:val="20"/>
          <w:lang w:val="en-GB"/>
        </w:rPr>
        <w:t xml:space="preserve"> to deliver greater value to the society and environment</w:t>
      </w:r>
      <w:r w:rsidR="5CEAFB44" w:rsidRPr="003F2FC0">
        <w:rPr>
          <w:rFonts w:ascii="Lato Light" w:eastAsia="Lato Light" w:hAnsi="Lato Light" w:cs="Lato Light"/>
          <w:color w:val="242424"/>
          <w:sz w:val="20"/>
          <w:szCs w:val="20"/>
          <w:lang w:val="en-GB"/>
        </w:rPr>
        <w:t>.</w:t>
      </w:r>
      <w:r w:rsidR="5AA8F690" w:rsidRPr="003F2FC0">
        <w:rPr>
          <w:rFonts w:ascii="Lato Light" w:eastAsia="Lato Light" w:hAnsi="Lato Light" w:cs="Lato Light"/>
          <w:color w:val="242424"/>
          <w:sz w:val="20"/>
          <w:szCs w:val="20"/>
          <w:lang w:val="en-GB"/>
        </w:rPr>
        <w:t xml:space="preserve"> </w:t>
      </w:r>
      <w:r w:rsidR="7D9888AB" w:rsidRPr="003F2FC0">
        <w:rPr>
          <w:rFonts w:ascii="Lato Light" w:eastAsia="Lato Light" w:hAnsi="Lato Light" w:cs="Lato Light"/>
          <w:color w:val="242424"/>
          <w:sz w:val="20"/>
          <w:szCs w:val="20"/>
          <w:lang w:val="en-GB"/>
        </w:rPr>
        <w:t>T</w:t>
      </w:r>
      <w:r w:rsidR="26B0D394" w:rsidRPr="003F2FC0">
        <w:rPr>
          <w:rFonts w:ascii="Lato Light" w:eastAsia="Lato Light" w:hAnsi="Lato Light" w:cs="Lato Light"/>
          <w:color w:val="242424"/>
          <w:sz w:val="20"/>
          <w:szCs w:val="20"/>
          <w:lang w:val="en-GB"/>
        </w:rPr>
        <w:t xml:space="preserve">he wider ESG report </w:t>
      </w:r>
      <w:r w:rsidR="31409697" w:rsidRPr="003F2FC0">
        <w:rPr>
          <w:rFonts w:ascii="Lato Light" w:eastAsia="Lato Light" w:hAnsi="Lato Light" w:cs="Lato Light"/>
          <w:color w:val="242424"/>
          <w:sz w:val="20"/>
          <w:szCs w:val="20"/>
          <w:lang w:val="en-GB"/>
        </w:rPr>
        <w:t>also covers</w:t>
      </w:r>
      <w:r w:rsidR="71D3C027" w:rsidRPr="003F2FC0">
        <w:rPr>
          <w:rFonts w:ascii="Lato Light" w:eastAsia="Lato Light" w:hAnsi="Lato Light" w:cs="Lato Light"/>
          <w:color w:val="242424"/>
          <w:sz w:val="20"/>
          <w:szCs w:val="20"/>
          <w:lang w:val="en-GB"/>
        </w:rPr>
        <w:t xml:space="preserve"> </w:t>
      </w:r>
      <w:r w:rsidR="2896E612" w:rsidRPr="003F2FC0">
        <w:rPr>
          <w:rFonts w:ascii="Lato Light" w:eastAsia="Lato Light" w:hAnsi="Lato Light" w:cs="Lato Light"/>
          <w:color w:val="242424"/>
          <w:sz w:val="20"/>
          <w:szCs w:val="20"/>
          <w:lang w:val="en-GB"/>
        </w:rPr>
        <w:t>employment promotion, protection of employees´ rights and interests, health and safety, fair operations, consumer relations, and community participation and development in response to social concerns through actions.</w:t>
      </w:r>
    </w:p>
    <w:p w14:paraId="55881737" w14:textId="62EE17DB" w:rsidR="009171FC" w:rsidRPr="00971739" w:rsidRDefault="2BF9C6F1" w:rsidP="192D3443">
      <w:pPr>
        <w:rPr>
          <w:rFonts w:ascii="Lato Light" w:eastAsia="Lato Light" w:hAnsi="Lato Light" w:cs="Lato Light"/>
          <w:color w:val="242424"/>
          <w:sz w:val="20"/>
          <w:szCs w:val="20"/>
          <w:lang w:val="en-GB"/>
        </w:rPr>
      </w:pPr>
      <w:r w:rsidRPr="00971739">
        <w:rPr>
          <w:rFonts w:ascii="Lato Light" w:eastAsia="Lato Light" w:hAnsi="Lato Light" w:cs="Lato Light"/>
          <w:color w:val="242424"/>
          <w:sz w:val="20"/>
          <w:szCs w:val="20"/>
          <w:lang w:val="en-GB"/>
        </w:rPr>
        <w:t>As Earth Day remind</w:t>
      </w:r>
      <w:r w:rsidR="008B7C4F">
        <w:rPr>
          <w:rFonts w:ascii="Lato Light" w:eastAsia="Lato Light" w:hAnsi="Lato Light" w:cs="Lato Light"/>
          <w:color w:val="242424"/>
          <w:sz w:val="20"/>
          <w:szCs w:val="20"/>
          <w:lang w:val="en-GB"/>
        </w:rPr>
        <w:t xml:space="preserve">s </w:t>
      </w:r>
      <w:r w:rsidRPr="00971739">
        <w:rPr>
          <w:rFonts w:ascii="Lato Light" w:eastAsia="Lato Light" w:hAnsi="Lato Light" w:cs="Lato Light"/>
          <w:color w:val="242424"/>
          <w:sz w:val="20"/>
          <w:szCs w:val="20"/>
          <w:lang w:val="en-GB"/>
        </w:rPr>
        <w:t>us of our shared responsibility to the planet, TCL encourages individuals and communities to join in its endeavours to create a more sustainable world. For a detailed look at TCL's sustainability initiatives and to participate in Earth Day activities, the public is invited to visit the TCL ESG report online or reach out via contact details provided.</w:t>
      </w:r>
    </w:p>
    <w:p w14:paraId="3E60993F" w14:textId="00E3B54C" w:rsidR="2BA44E77" w:rsidRPr="00971739" w:rsidRDefault="2BA44E77" w:rsidP="192D3443">
      <w:pPr>
        <w:rPr>
          <w:rFonts w:ascii="Lato Light" w:eastAsia="Lato Light" w:hAnsi="Lato Light" w:cs="Lato Light"/>
          <w:sz w:val="20"/>
          <w:szCs w:val="20"/>
          <w:lang w:val="en-GB"/>
        </w:rPr>
      </w:pPr>
      <w:r w:rsidRPr="00971739">
        <w:rPr>
          <w:rFonts w:ascii="Lato Light" w:eastAsia="Lato Light" w:hAnsi="Lato Light" w:cs="Lato Light"/>
          <w:i/>
          <w:iCs/>
          <w:color w:val="242424"/>
          <w:sz w:val="20"/>
          <w:szCs w:val="20"/>
          <w:lang w:val="en-GB"/>
        </w:rPr>
        <w:t xml:space="preserve">*Source: TCL Electronics – </w:t>
      </w:r>
      <w:hyperlink r:id="rId12">
        <w:r w:rsidRPr="00971739">
          <w:rPr>
            <w:rStyle w:val="Hyperlink"/>
            <w:rFonts w:ascii="Lato Light" w:eastAsia="Lato Light" w:hAnsi="Lato Light" w:cs="Lato Light"/>
            <w:i/>
            <w:iCs/>
            <w:sz w:val="20"/>
            <w:szCs w:val="20"/>
            <w:lang w:val="en-GB"/>
          </w:rPr>
          <w:t>2023 ESG Report</w:t>
        </w:r>
      </w:hyperlink>
    </w:p>
    <w:p w14:paraId="5A62C143" w14:textId="5E64A468" w:rsidR="009171FC" w:rsidRPr="00971739" w:rsidRDefault="009171FC" w:rsidP="77E4F5A8">
      <w:pPr>
        <w:spacing w:after="0"/>
        <w:jc w:val="center"/>
        <w:rPr>
          <w:rFonts w:ascii="Lato Light" w:hAnsi="Lato Light"/>
          <w:sz w:val="20"/>
          <w:szCs w:val="20"/>
          <w:lang w:val="en-GB"/>
        </w:rPr>
      </w:pPr>
      <w:r w:rsidRPr="00971739">
        <w:rPr>
          <w:rFonts w:ascii="Lato Light" w:hAnsi="Lato Light"/>
          <w:sz w:val="20"/>
          <w:szCs w:val="20"/>
          <w:lang w:val="en-GB"/>
        </w:rPr>
        <w:t># # #</w:t>
      </w:r>
    </w:p>
    <w:p w14:paraId="199CFC33" w14:textId="56042197" w:rsidR="009171FC" w:rsidRPr="00971739" w:rsidRDefault="009171FC" w:rsidP="77E4F5A8">
      <w:pPr>
        <w:spacing w:after="0"/>
        <w:jc w:val="center"/>
        <w:rPr>
          <w:rFonts w:ascii="Lato Light" w:hAnsi="Lato Light"/>
          <w:sz w:val="20"/>
          <w:szCs w:val="20"/>
          <w:lang w:val="en-GB"/>
        </w:rPr>
      </w:pPr>
    </w:p>
    <w:p w14:paraId="3683EC05" w14:textId="778988B3" w:rsidR="009171FC" w:rsidRPr="00971739" w:rsidRDefault="009171FC" w:rsidP="77E4F5A8">
      <w:pPr>
        <w:spacing w:after="0"/>
        <w:jc w:val="center"/>
        <w:rPr>
          <w:rFonts w:ascii="Lato Light" w:hAnsi="Lato Light"/>
          <w:sz w:val="20"/>
          <w:szCs w:val="20"/>
          <w:lang w:val="en-GB"/>
        </w:rPr>
      </w:pPr>
      <w:r w:rsidRPr="00971739">
        <w:rPr>
          <w:rFonts w:ascii="Lato Light" w:hAnsi="Lato Light"/>
          <w:b/>
          <w:bCs/>
          <w:sz w:val="20"/>
          <w:szCs w:val="20"/>
          <w:lang w:val="en-GB"/>
        </w:rPr>
        <w:t>Media Contact</w:t>
      </w:r>
    </w:p>
    <w:p w14:paraId="7E025E32" w14:textId="724E3BFA" w:rsidR="009171FC" w:rsidRPr="00971739" w:rsidRDefault="009171FC" w:rsidP="77E4F5A8">
      <w:pPr>
        <w:spacing w:after="0"/>
        <w:jc w:val="center"/>
        <w:rPr>
          <w:rFonts w:ascii="Lato Light" w:hAnsi="Lato Light"/>
          <w:sz w:val="20"/>
          <w:szCs w:val="20"/>
          <w:lang w:val="en-GB"/>
        </w:rPr>
      </w:pPr>
      <w:r w:rsidRPr="00971739">
        <w:rPr>
          <w:rFonts w:ascii="Lato Light" w:hAnsi="Lato Light"/>
          <w:sz w:val="20"/>
          <w:szCs w:val="20"/>
          <w:lang w:val="en-GB"/>
        </w:rPr>
        <w:t>Europe Press Relations</w:t>
      </w:r>
    </w:p>
    <w:p w14:paraId="3BE490F6" w14:textId="3E5FD6E3" w:rsidR="009171FC" w:rsidRPr="00971739" w:rsidRDefault="00652363" w:rsidP="77E4F5A8">
      <w:pPr>
        <w:spacing w:after="0"/>
        <w:jc w:val="center"/>
        <w:rPr>
          <w:rFonts w:ascii="Lato Light" w:hAnsi="Lato Light"/>
          <w:sz w:val="20"/>
          <w:szCs w:val="20"/>
          <w:lang w:val="en-GB"/>
        </w:rPr>
      </w:pPr>
      <w:hyperlink r:id="rId13" w:tgtFrame="_blank" w:history="1">
        <w:r w:rsidR="009171FC" w:rsidRPr="00971739">
          <w:rPr>
            <w:rStyle w:val="Hyperlink"/>
            <w:rFonts w:ascii="Lato Light" w:hAnsi="Lato Light"/>
            <w:sz w:val="20"/>
            <w:szCs w:val="20"/>
            <w:lang w:val="en-GB"/>
          </w:rPr>
          <w:t>eupr@tcl.com</w:t>
        </w:r>
      </w:hyperlink>
    </w:p>
    <w:p w14:paraId="4A99FD51" w14:textId="7DC3A00C" w:rsidR="009171FC" w:rsidRPr="00971739" w:rsidRDefault="009171FC" w:rsidP="77E4F5A8">
      <w:pPr>
        <w:spacing w:after="0"/>
        <w:jc w:val="center"/>
        <w:rPr>
          <w:rFonts w:ascii="Lato Light" w:hAnsi="Lato Light"/>
          <w:sz w:val="20"/>
          <w:szCs w:val="20"/>
          <w:lang w:val="en-GB"/>
        </w:rPr>
      </w:pPr>
      <w:r w:rsidRPr="00971739">
        <w:rPr>
          <w:rFonts w:ascii="Lato Light" w:hAnsi="Lato Light"/>
          <w:sz w:val="20"/>
          <w:szCs w:val="20"/>
          <w:lang w:val="en-GB"/>
        </w:rPr>
        <w:t>Local Press Contact</w:t>
      </w:r>
    </w:p>
    <w:p w14:paraId="1097DF00" w14:textId="54DFE78A" w:rsidR="009171FC" w:rsidRPr="00971739" w:rsidRDefault="009171FC" w:rsidP="77E4F5A8">
      <w:pPr>
        <w:spacing w:after="0"/>
        <w:jc w:val="center"/>
        <w:rPr>
          <w:rFonts w:ascii="Lato Light" w:hAnsi="Lato Light"/>
          <w:sz w:val="20"/>
          <w:szCs w:val="20"/>
          <w:lang w:val="en-GB"/>
        </w:rPr>
      </w:pPr>
      <w:r w:rsidRPr="008B7C4F">
        <w:rPr>
          <w:rFonts w:ascii="Lato Light" w:hAnsi="Lato Light"/>
          <w:sz w:val="20"/>
          <w:szCs w:val="20"/>
          <w:highlight w:val="yellow"/>
          <w:lang w:val="en-GB"/>
        </w:rPr>
        <w:t>&lt;insert local email&gt;</w:t>
      </w:r>
    </w:p>
    <w:p w14:paraId="2D52BCEC" w14:textId="2CC28AA7" w:rsidR="009171FC" w:rsidRPr="00971739" w:rsidRDefault="009171FC" w:rsidP="77E4F5A8">
      <w:pPr>
        <w:spacing w:after="0"/>
        <w:jc w:val="center"/>
        <w:rPr>
          <w:rFonts w:ascii="Lato Light" w:hAnsi="Lato Light"/>
          <w:sz w:val="20"/>
          <w:szCs w:val="20"/>
          <w:lang w:val="en-GB"/>
        </w:rPr>
      </w:pPr>
    </w:p>
    <w:p w14:paraId="5A266CDE" w14:textId="3E4DE343" w:rsidR="009171FC" w:rsidRPr="00971739" w:rsidRDefault="009171FC" w:rsidP="77E4F5A8">
      <w:pPr>
        <w:spacing w:after="0"/>
        <w:jc w:val="center"/>
        <w:rPr>
          <w:rFonts w:ascii="Lato Light" w:hAnsi="Lato Light"/>
          <w:sz w:val="20"/>
          <w:szCs w:val="20"/>
          <w:lang w:val="en-GB"/>
        </w:rPr>
      </w:pPr>
      <w:r w:rsidRPr="00971739">
        <w:rPr>
          <w:rFonts w:ascii="Lato Light" w:hAnsi="Lato Light"/>
          <w:sz w:val="20"/>
          <w:szCs w:val="20"/>
          <w:lang w:val="en-GB"/>
        </w:rPr>
        <w:t># # #</w:t>
      </w:r>
    </w:p>
    <w:p w14:paraId="7E63F3F4" w14:textId="35A7DCC2" w:rsidR="00411FF9" w:rsidRPr="00971739" w:rsidRDefault="00652363" w:rsidP="00A86D64">
      <w:pPr>
        <w:spacing w:after="0"/>
        <w:jc w:val="center"/>
        <w:rPr>
          <w:rFonts w:ascii="Lato Light" w:hAnsi="Lato Light"/>
          <w:sz w:val="20"/>
          <w:szCs w:val="20"/>
        </w:rPr>
      </w:pPr>
      <w:hyperlink r:id="rId14" w:history="1">
        <w:r w:rsidR="00411FF9" w:rsidRPr="00971739">
          <w:rPr>
            <w:rStyle w:val="Hyperlink"/>
            <w:rFonts w:ascii="Lato Light" w:hAnsi="Lato Light"/>
            <w:sz w:val="20"/>
            <w:szCs w:val="20"/>
          </w:rPr>
          <w:t>TCL Green</w:t>
        </w:r>
      </w:hyperlink>
    </w:p>
    <w:p w14:paraId="7FCDF945" w14:textId="14F180BC" w:rsidR="52F55621" w:rsidRPr="00971739" w:rsidRDefault="00652363" w:rsidP="192D3443">
      <w:pPr>
        <w:spacing w:after="0"/>
        <w:jc w:val="center"/>
        <w:rPr>
          <w:rFonts w:ascii="Lato Light" w:hAnsi="Lato Light"/>
          <w:sz w:val="20"/>
          <w:szCs w:val="20"/>
          <w:lang w:val="en-GB"/>
        </w:rPr>
      </w:pPr>
      <w:hyperlink r:id="rId15">
        <w:r w:rsidR="34CCAE28" w:rsidRPr="00971739">
          <w:rPr>
            <w:rStyle w:val="Hyperlink"/>
            <w:rFonts w:ascii="Lato Light" w:hAnsi="Lato Light"/>
            <w:sz w:val="20"/>
            <w:szCs w:val="20"/>
          </w:rPr>
          <w:t>TCL Electronics – ESG Report 202</w:t>
        </w:r>
        <w:r w:rsidR="049D7E43" w:rsidRPr="00971739">
          <w:rPr>
            <w:rStyle w:val="Hyperlink"/>
            <w:rFonts w:ascii="Lato Light" w:hAnsi="Lato Light"/>
            <w:sz w:val="20"/>
            <w:szCs w:val="20"/>
          </w:rPr>
          <w:t>3</w:t>
        </w:r>
      </w:hyperlink>
    </w:p>
    <w:sectPr w:rsidR="52F55621" w:rsidRPr="00971739">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7DD9E1E" w16cex:dateUtc="2024-04-10T19:12:00Z"/>
  <w16cex:commentExtensible w16cex:durableId="477F26DB" w16cex:dateUtc="2024-04-10T19:13:00Z"/>
  <w16cex:commentExtensible w16cex:durableId="1A375A18" w16cex:dateUtc="2024-04-25T08:58:48.36Z"/>
  <w16cex:commentExtensible w16cex:durableId="1E1D738B" w16cex:dateUtc="2024-04-25T02:41:16.542Z"/>
  <w16cex:commentExtensible w16cex:durableId="417F09A4" w16cex:dateUtc="2024-04-10T17:30:00Z"/>
  <w16cex:commentExtensible w16cex:durableId="00CE0795" w16cex:dateUtc="2024-04-10T17:32:00Z"/>
  <w16cex:commentExtensible w16cex:durableId="509CB3DE" w16cex:dateUtc="2024-04-24T18:39:27.124Z"/>
  <w16cex:commentExtensible w16cex:durableId="3B138861" w16cex:dateUtc="2024-04-24T18:31:29.426Z"/>
  <w16cex:commentExtensible w16cex:durableId="763FABFB" w16cex:dateUtc="2024-04-24T06:13:00.818Z"/>
  <w16cex:commentExtensible w16cex:durableId="24B1CAD8" w16cex:dateUtc="2024-04-24T06:13:46.467Z"/>
  <w16cex:commentExtensible w16cex:durableId="27E7C33A" w16cex:dateUtc="2024-04-24T16:10:44.556Z"/>
  <w16cex:commentExtensible w16cex:durableId="0FFFB014" w16cex:dateUtc="2024-04-24T15:57:19.346Z"/>
  <w16cex:commentExtensible w16cex:durableId="13E44D46" w16cex:dateUtc="2024-04-24T06:30:18.467Z"/>
  <w16cex:commentExtensible w16cex:durableId="064E88FB" w16cex:dateUtc="2024-04-25T11:07:36.658Z"/>
  <w16cex:commentExtensible w16cex:durableId="5819BCE6" w16cex:dateUtc="2024-04-26T07:15:32.104Z"/>
  <w16cex:commentExtensible w16cex:durableId="6C3DD20C" w16cex:dateUtc="2024-05-03T12:26:23.555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7FA7D" w14:textId="77777777" w:rsidR="00652363" w:rsidRDefault="00652363" w:rsidP="008A2451">
      <w:pPr>
        <w:spacing w:after="0" w:line="240" w:lineRule="auto"/>
      </w:pPr>
      <w:r>
        <w:separator/>
      </w:r>
    </w:p>
  </w:endnote>
  <w:endnote w:type="continuationSeparator" w:id="0">
    <w:p w14:paraId="06B827D8" w14:textId="77777777" w:rsidR="00652363" w:rsidRDefault="00652363" w:rsidP="008A2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ato Light">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system-u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C7F14" w14:textId="77777777" w:rsidR="00652363" w:rsidRDefault="00652363" w:rsidP="008A2451">
      <w:pPr>
        <w:spacing w:after="0" w:line="240" w:lineRule="auto"/>
      </w:pPr>
      <w:r>
        <w:separator/>
      </w:r>
    </w:p>
  </w:footnote>
  <w:footnote w:type="continuationSeparator" w:id="0">
    <w:p w14:paraId="10A118AC" w14:textId="77777777" w:rsidR="00652363" w:rsidRDefault="00652363" w:rsidP="008A2451">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c5HhFoHn82wrJU" int2:id="j0eT5d33">
      <int2:state int2:type="AugLoop_Text_Critique" int2:value="Rejected"/>
    </int2:textHash>
    <int2:bookmark int2:bookmarkName="_Int_1JIWd472" int2:invalidationBookmarkName="" int2:hashCode="3KKjJeR/dxf+gy" int2:id="ahQFuznW">
      <int2:state int2:type="AugLoop_Text_Critique" int2:value="Rejected"/>
    </int2:bookmark>
    <int2:bookmark int2:bookmarkName="_Int_Ye4MW9zG" int2:invalidationBookmarkName="" int2:hashCode="fh29Au+7Yv2J3b" int2:id="Y2C6LDyy">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24C80"/>
    <w:multiLevelType w:val="hybridMultilevel"/>
    <w:tmpl w:val="59661724"/>
    <w:lvl w:ilvl="0" w:tplc="2C7CE0A4">
      <w:start w:val="1"/>
      <w:numFmt w:val="bullet"/>
      <w:lvlText w:val=""/>
      <w:lvlJc w:val="left"/>
      <w:pPr>
        <w:ind w:left="720" w:hanging="360"/>
      </w:pPr>
      <w:rPr>
        <w:rFonts w:ascii="Symbol" w:hAnsi="Symbol" w:hint="default"/>
      </w:rPr>
    </w:lvl>
    <w:lvl w:ilvl="1" w:tplc="94C48BA4">
      <w:start w:val="1"/>
      <w:numFmt w:val="bullet"/>
      <w:lvlText w:val="o"/>
      <w:lvlJc w:val="left"/>
      <w:pPr>
        <w:ind w:left="1440" w:hanging="360"/>
      </w:pPr>
      <w:rPr>
        <w:rFonts w:ascii="Courier New" w:hAnsi="Courier New" w:hint="default"/>
      </w:rPr>
    </w:lvl>
    <w:lvl w:ilvl="2" w:tplc="83361B0E">
      <w:start w:val="1"/>
      <w:numFmt w:val="bullet"/>
      <w:lvlText w:val=""/>
      <w:lvlJc w:val="left"/>
      <w:pPr>
        <w:ind w:left="2160" w:hanging="360"/>
      </w:pPr>
      <w:rPr>
        <w:rFonts w:ascii="Wingdings" w:hAnsi="Wingdings" w:hint="default"/>
      </w:rPr>
    </w:lvl>
    <w:lvl w:ilvl="3" w:tplc="600E5BF6">
      <w:start w:val="1"/>
      <w:numFmt w:val="bullet"/>
      <w:lvlText w:val=""/>
      <w:lvlJc w:val="left"/>
      <w:pPr>
        <w:ind w:left="2880" w:hanging="360"/>
      </w:pPr>
      <w:rPr>
        <w:rFonts w:ascii="Symbol" w:hAnsi="Symbol" w:hint="default"/>
      </w:rPr>
    </w:lvl>
    <w:lvl w:ilvl="4" w:tplc="77F08F7C">
      <w:start w:val="1"/>
      <w:numFmt w:val="bullet"/>
      <w:lvlText w:val="o"/>
      <w:lvlJc w:val="left"/>
      <w:pPr>
        <w:ind w:left="3600" w:hanging="360"/>
      </w:pPr>
      <w:rPr>
        <w:rFonts w:ascii="Courier New" w:hAnsi="Courier New" w:hint="default"/>
      </w:rPr>
    </w:lvl>
    <w:lvl w:ilvl="5" w:tplc="2EB67FDE">
      <w:start w:val="1"/>
      <w:numFmt w:val="bullet"/>
      <w:lvlText w:val=""/>
      <w:lvlJc w:val="left"/>
      <w:pPr>
        <w:ind w:left="4320" w:hanging="360"/>
      </w:pPr>
      <w:rPr>
        <w:rFonts w:ascii="Wingdings" w:hAnsi="Wingdings" w:hint="default"/>
      </w:rPr>
    </w:lvl>
    <w:lvl w:ilvl="6" w:tplc="CBD2B31E">
      <w:start w:val="1"/>
      <w:numFmt w:val="bullet"/>
      <w:lvlText w:val=""/>
      <w:lvlJc w:val="left"/>
      <w:pPr>
        <w:ind w:left="5040" w:hanging="360"/>
      </w:pPr>
      <w:rPr>
        <w:rFonts w:ascii="Symbol" w:hAnsi="Symbol" w:hint="default"/>
      </w:rPr>
    </w:lvl>
    <w:lvl w:ilvl="7" w:tplc="2D2658A2">
      <w:start w:val="1"/>
      <w:numFmt w:val="bullet"/>
      <w:lvlText w:val="o"/>
      <w:lvlJc w:val="left"/>
      <w:pPr>
        <w:ind w:left="5760" w:hanging="360"/>
      </w:pPr>
      <w:rPr>
        <w:rFonts w:ascii="Courier New" w:hAnsi="Courier New" w:hint="default"/>
      </w:rPr>
    </w:lvl>
    <w:lvl w:ilvl="8" w:tplc="B73A9D90">
      <w:start w:val="1"/>
      <w:numFmt w:val="bullet"/>
      <w:lvlText w:val=""/>
      <w:lvlJc w:val="left"/>
      <w:pPr>
        <w:ind w:left="6480" w:hanging="360"/>
      </w:pPr>
      <w:rPr>
        <w:rFonts w:ascii="Wingdings" w:hAnsi="Wingdings" w:hint="default"/>
      </w:rPr>
    </w:lvl>
  </w:abstractNum>
  <w:abstractNum w:abstractNumId="1" w15:restartNumberingAfterBreak="0">
    <w:nsid w:val="10C50E4F"/>
    <w:multiLevelType w:val="hybridMultilevel"/>
    <w:tmpl w:val="19CAC7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BC31D6"/>
    <w:multiLevelType w:val="hybridMultilevel"/>
    <w:tmpl w:val="26945090"/>
    <w:lvl w:ilvl="0" w:tplc="FFFFFFFF">
      <w:start w:val="1"/>
      <w:numFmt w:val="bullet"/>
      <w:lvlText w:val=""/>
      <w:lvlJc w:val="left"/>
      <w:pPr>
        <w:ind w:left="720" w:hanging="360"/>
      </w:pPr>
      <w:rPr>
        <w:rFonts w:ascii="Symbol" w:hAnsi="Symbol" w:hint="default"/>
      </w:rPr>
    </w:lvl>
    <w:lvl w:ilvl="1" w:tplc="29DC530C">
      <w:start w:val="1"/>
      <w:numFmt w:val="bullet"/>
      <w:lvlText w:val="o"/>
      <w:lvlJc w:val="left"/>
      <w:pPr>
        <w:ind w:left="1440" w:hanging="360"/>
      </w:pPr>
      <w:rPr>
        <w:rFonts w:ascii="Courier New" w:hAnsi="Courier New" w:hint="default"/>
      </w:rPr>
    </w:lvl>
    <w:lvl w:ilvl="2" w:tplc="81BA46B8">
      <w:start w:val="1"/>
      <w:numFmt w:val="bullet"/>
      <w:lvlText w:val=""/>
      <w:lvlJc w:val="left"/>
      <w:pPr>
        <w:ind w:left="2160" w:hanging="360"/>
      </w:pPr>
      <w:rPr>
        <w:rFonts w:ascii="Wingdings" w:hAnsi="Wingdings" w:hint="default"/>
      </w:rPr>
    </w:lvl>
    <w:lvl w:ilvl="3" w:tplc="87A68458">
      <w:start w:val="1"/>
      <w:numFmt w:val="bullet"/>
      <w:lvlText w:val=""/>
      <w:lvlJc w:val="left"/>
      <w:pPr>
        <w:ind w:left="2880" w:hanging="360"/>
      </w:pPr>
      <w:rPr>
        <w:rFonts w:ascii="Symbol" w:hAnsi="Symbol" w:hint="default"/>
      </w:rPr>
    </w:lvl>
    <w:lvl w:ilvl="4" w:tplc="B878553A">
      <w:start w:val="1"/>
      <w:numFmt w:val="bullet"/>
      <w:lvlText w:val="o"/>
      <w:lvlJc w:val="left"/>
      <w:pPr>
        <w:ind w:left="3600" w:hanging="360"/>
      </w:pPr>
      <w:rPr>
        <w:rFonts w:ascii="Courier New" w:hAnsi="Courier New" w:hint="default"/>
      </w:rPr>
    </w:lvl>
    <w:lvl w:ilvl="5" w:tplc="0868D9DC">
      <w:start w:val="1"/>
      <w:numFmt w:val="bullet"/>
      <w:lvlText w:val=""/>
      <w:lvlJc w:val="left"/>
      <w:pPr>
        <w:ind w:left="4320" w:hanging="360"/>
      </w:pPr>
      <w:rPr>
        <w:rFonts w:ascii="Wingdings" w:hAnsi="Wingdings" w:hint="default"/>
      </w:rPr>
    </w:lvl>
    <w:lvl w:ilvl="6" w:tplc="7618F68A">
      <w:start w:val="1"/>
      <w:numFmt w:val="bullet"/>
      <w:lvlText w:val=""/>
      <w:lvlJc w:val="left"/>
      <w:pPr>
        <w:ind w:left="5040" w:hanging="360"/>
      </w:pPr>
      <w:rPr>
        <w:rFonts w:ascii="Symbol" w:hAnsi="Symbol" w:hint="default"/>
      </w:rPr>
    </w:lvl>
    <w:lvl w:ilvl="7" w:tplc="AD400374">
      <w:start w:val="1"/>
      <w:numFmt w:val="bullet"/>
      <w:lvlText w:val="o"/>
      <w:lvlJc w:val="left"/>
      <w:pPr>
        <w:ind w:left="5760" w:hanging="360"/>
      </w:pPr>
      <w:rPr>
        <w:rFonts w:ascii="Courier New" w:hAnsi="Courier New" w:hint="default"/>
      </w:rPr>
    </w:lvl>
    <w:lvl w:ilvl="8" w:tplc="F8E62710">
      <w:start w:val="1"/>
      <w:numFmt w:val="bullet"/>
      <w:lvlText w:val=""/>
      <w:lvlJc w:val="left"/>
      <w:pPr>
        <w:ind w:left="6480" w:hanging="360"/>
      </w:pPr>
      <w:rPr>
        <w:rFonts w:ascii="Wingdings" w:hAnsi="Wingdings" w:hint="default"/>
      </w:rPr>
    </w:lvl>
  </w:abstractNum>
  <w:abstractNum w:abstractNumId="3" w15:restartNumberingAfterBreak="0">
    <w:nsid w:val="34C75D1E"/>
    <w:multiLevelType w:val="hybridMultilevel"/>
    <w:tmpl w:val="E2BE1ED2"/>
    <w:lvl w:ilvl="0" w:tplc="C94C19E2">
      <w:start w:val="1"/>
      <w:numFmt w:val="bullet"/>
      <w:lvlText w:val=""/>
      <w:lvlJc w:val="left"/>
      <w:pPr>
        <w:ind w:left="720" w:hanging="360"/>
      </w:pPr>
      <w:rPr>
        <w:rFonts w:ascii="Symbol" w:hAnsi="Symbol" w:hint="default"/>
      </w:rPr>
    </w:lvl>
    <w:lvl w:ilvl="1" w:tplc="6E60E666">
      <w:start w:val="1"/>
      <w:numFmt w:val="bullet"/>
      <w:lvlText w:val="o"/>
      <w:lvlJc w:val="left"/>
      <w:pPr>
        <w:ind w:left="1440" w:hanging="360"/>
      </w:pPr>
      <w:rPr>
        <w:rFonts w:ascii="Courier New" w:hAnsi="Courier New" w:hint="default"/>
      </w:rPr>
    </w:lvl>
    <w:lvl w:ilvl="2" w:tplc="54C8FE9E">
      <w:start w:val="1"/>
      <w:numFmt w:val="bullet"/>
      <w:lvlText w:val=""/>
      <w:lvlJc w:val="left"/>
      <w:pPr>
        <w:ind w:left="2160" w:hanging="360"/>
      </w:pPr>
      <w:rPr>
        <w:rFonts w:ascii="Wingdings" w:hAnsi="Wingdings" w:hint="default"/>
      </w:rPr>
    </w:lvl>
    <w:lvl w:ilvl="3" w:tplc="C182306E">
      <w:start w:val="1"/>
      <w:numFmt w:val="bullet"/>
      <w:lvlText w:val=""/>
      <w:lvlJc w:val="left"/>
      <w:pPr>
        <w:ind w:left="2880" w:hanging="360"/>
      </w:pPr>
      <w:rPr>
        <w:rFonts w:ascii="Symbol" w:hAnsi="Symbol" w:hint="default"/>
      </w:rPr>
    </w:lvl>
    <w:lvl w:ilvl="4" w:tplc="628E580A">
      <w:start w:val="1"/>
      <w:numFmt w:val="bullet"/>
      <w:lvlText w:val="o"/>
      <w:lvlJc w:val="left"/>
      <w:pPr>
        <w:ind w:left="3600" w:hanging="360"/>
      </w:pPr>
      <w:rPr>
        <w:rFonts w:ascii="Courier New" w:hAnsi="Courier New" w:hint="default"/>
      </w:rPr>
    </w:lvl>
    <w:lvl w:ilvl="5" w:tplc="E3583406">
      <w:start w:val="1"/>
      <w:numFmt w:val="bullet"/>
      <w:lvlText w:val=""/>
      <w:lvlJc w:val="left"/>
      <w:pPr>
        <w:ind w:left="4320" w:hanging="360"/>
      </w:pPr>
      <w:rPr>
        <w:rFonts w:ascii="Wingdings" w:hAnsi="Wingdings" w:hint="default"/>
      </w:rPr>
    </w:lvl>
    <w:lvl w:ilvl="6" w:tplc="139C98A8">
      <w:start w:val="1"/>
      <w:numFmt w:val="bullet"/>
      <w:lvlText w:val=""/>
      <w:lvlJc w:val="left"/>
      <w:pPr>
        <w:ind w:left="5040" w:hanging="360"/>
      </w:pPr>
      <w:rPr>
        <w:rFonts w:ascii="Symbol" w:hAnsi="Symbol" w:hint="default"/>
      </w:rPr>
    </w:lvl>
    <w:lvl w:ilvl="7" w:tplc="DFD6C12A">
      <w:start w:val="1"/>
      <w:numFmt w:val="bullet"/>
      <w:lvlText w:val="o"/>
      <w:lvlJc w:val="left"/>
      <w:pPr>
        <w:ind w:left="5760" w:hanging="360"/>
      </w:pPr>
      <w:rPr>
        <w:rFonts w:ascii="Courier New" w:hAnsi="Courier New" w:hint="default"/>
      </w:rPr>
    </w:lvl>
    <w:lvl w:ilvl="8" w:tplc="01F69A84">
      <w:start w:val="1"/>
      <w:numFmt w:val="bullet"/>
      <w:lvlText w:val=""/>
      <w:lvlJc w:val="left"/>
      <w:pPr>
        <w:ind w:left="6480" w:hanging="360"/>
      </w:pPr>
      <w:rPr>
        <w:rFonts w:ascii="Wingdings" w:hAnsi="Wingdings" w:hint="default"/>
      </w:rPr>
    </w:lvl>
  </w:abstractNum>
  <w:abstractNum w:abstractNumId="4" w15:restartNumberingAfterBreak="0">
    <w:nsid w:val="3C8E4501"/>
    <w:multiLevelType w:val="hybridMultilevel"/>
    <w:tmpl w:val="F53202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3D6355C"/>
    <w:multiLevelType w:val="hybridMultilevel"/>
    <w:tmpl w:val="F9386A1A"/>
    <w:lvl w:ilvl="0" w:tplc="FFFFFFFF">
      <w:start w:val="1"/>
      <w:numFmt w:val="bullet"/>
      <w:lvlText w:val=""/>
      <w:lvlJc w:val="left"/>
      <w:pPr>
        <w:ind w:left="720" w:hanging="360"/>
      </w:pPr>
      <w:rPr>
        <w:rFonts w:ascii="Symbol" w:hAnsi="Symbol" w:hint="default"/>
      </w:rPr>
    </w:lvl>
    <w:lvl w:ilvl="1" w:tplc="789EABFE">
      <w:start w:val="1"/>
      <w:numFmt w:val="bullet"/>
      <w:lvlText w:val="o"/>
      <w:lvlJc w:val="left"/>
      <w:pPr>
        <w:ind w:left="1440" w:hanging="360"/>
      </w:pPr>
      <w:rPr>
        <w:rFonts w:ascii="Courier New" w:hAnsi="Courier New" w:hint="default"/>
      </w:rPr>
    </w:lvl>
    <w:lvl w:ilvl="2" w:tplc="DF0C486C">
      <w:start w:val="1"/>
      <w:numFmt w:val="bullet"/>
      <w:lvlText w:val=""/>
      <w:lvlJc w:val="left"/>
      <w:pPr>
        <w:ind w:left="2160" w:hanging="360"/>
      </w:pPr>
      <w:rPr>
        <w:rFonts w:ascii="Wingdings" w:hAnsi="Wingdings" w:hint="default"/>
      </w:rPr>
    </w:lvl>
    <w:lvl w:ilvl="3" w:tplc="A6AE0D3C">
      <w:start w:val="1"/>
      <w:numFmt w:val="bullet"/>
      <w:lvlText w:val=""/>
      <w:lvlJc w:val="left"/>
      <w:pPr>
        <w:ind w:left="2880" w:hanging="360"/>
      </w:pPr>
      <w:rPr>
        <w:rFonts w:ascii="Symbol" w:hAnsi="Symbol" w:hint="default"/>
      </w:rPr>
    </w:lvl>
    <w:lvl w:ilvl="4" w:tplc="0650AD52">
      <w:start w:val="1"/>
      <w:numFmt w:val="bullet"/>
      <w:lvlText w:val="o"/>
      <w:lvlJc w:val="left"/>
      <w:pPr>
        <w:ind w:left="3600" w:hanging="360"/>
      </w:pPr>
      <w:rPr>
        <w:rFonts w:ascii="Courier New" w:hAnsi="Courier New" w:hint="default"/>
      </w:rPr>
    </w:lvl>
    <w:lvl w:ilvl="5" w:tplc="CAF46F4A">
      <w:start w:val="1"/>
      <w:numFmt w:val="bullet"/>
      <w:lvlText w:val=""/>
      <w:lvlJc w:val="left"/>
      <w:pPr>
        <w:ind w:left="4320" w:hanging="360"/>
      </w:pPr>
      <w:rPr>
        <w:rFonts w:ascii="Wingdings" w:hAnsi="Wingdings" w:hint="default"/>
      </w:rPr>
    </w:lvl>
    <w:lvl w:ilvl="6" w:tplc="CCCAED30">
      <w:start w:val="1"/>
      <w:numFmt w:val="bullet"/>
      <w:lvlText w:val=""/>
      <w:lvlJc w:val="left"/>
      <w:pPr>
        <w:ind w:left="5040" w:hanging="360"/>
      </w:pPr>
      <w:rPr>
        <w:rFonts w:ascii="Symbol" w:hAnsi="Symbol" w:hint="default"/>
      </w:rPr>
    </w:lvl>
    <w:lvl w:ilvl="7" w:tplc="CB762AE4">
      <w:start w:val="1"/>
      <w:numFmt w:val="bullet"/>
      <w:lvlText w:val="o"/>
      <w:lvlJc w:val="left"/>
      <w:pPr>
        <w:ind w:left="5760" w:hanging="360"/>
      </w:pPr>
      <w:rPr>
        <w:rFonts w:ascii="Courier New" w:hAnsi="Courier New" w:hint="default"/>
      </w:rPr>
    </w:lvl>
    <w:lvl w:ilvl="8" w:tplc="E898C090">
      <w:start w:val="1"/>
      <w:numFmt w:val="bullet"/>
      <w:lvlText w:val=""/>
      <w:lvlJc w:val="left"/>
      <w:pPr>
        <w:ind w:left="6480" w:hanging="360"/>
      </w:pPr>
      <w:rPr>
        <w:rFonts w:ascii="Wingdings" w:hAnsi="Wingdings" w:hint="default"/>
      </w:rPr>
    </w:lvl>
  </w:abstractNum>
  <w:abstractNum w:abstractNumId="6" w15:restartNumberingAfterBreak="0">
    <w:nsid w:val="540CCA20"/>
    <w:multiLevelType w:val="hybridMultilevel"/>
    <w:tmpl w:val="37E6EC18"/>
    <w:lvl w:ilvl="0" w:tplc="E61094D4">
      <w:start w:val="1"/>
      <w:numFmt w:val="bullet"/>
      <w:lvlText w:val=""/>
      <w:lvlJc w:val="left"/>
      <w:pPr>
        <w:ind w:left="720" w:hanging="360"/>
      </w:pPr>
      <w:rPr>
        <w:rFonts w:ascii="Symbol" w:hAnsi="Symbol" w:hint="default"/>
      </w:rPr>
    </w:lvl>
    <w:lvl w:ilvl="1" w:tplc="105625F6">
      <w:start w:val="1"/>
      <w:numFmt w:val="bullet"/>
      <w:lvlText w:val="o"/>
      <w:lvlJc w:val="left"/>
      <w:pPr>
        <w:ind w:left="1440" w:hanging="360"/>
      </w:pPr>
      <w:rPr>
        <w:rFonts w:ascii="Courier New" w:hAnsi="Courier New" w:hint="default"/>
      </w:rPr>
    </w:lvl>
    <w:lvl w:ilvl="2" w:tplc="AECE9A8C">
      <w:start w:val="1"/>
      <w:numFmt w:val="bullet"/>
      <w:lvlText w:val=""/>
      <w:lvlJc w:val="left"/>
      <w:pPr>
        <w:ind w:left="2160" w:hanging="360"/>
      </w:pPr>
      <w:rPr>
        <w:rFonts w:ascii="Wingdings" w:hAnsi="Wingdings" w:hint="default"/>
      </w:rPr>
    </w:lvl>
    <w:lvl w:ilvl="3" w:tplc="7B70EF64">
      <w:start w:val="1"/>
      <w:numFmt w:val="bullet"/>
      <w:lvlText w:val=""/>
      <w:lvlJc w:val="left"/>
      <w:pPr>
        <w:ind w:left="2880" w:hanging="360"/>
      </w:pPr>
      <w:rPr>
        <w:rFonts w:ascii="Symbol" w:hAnsi="Symbol" w:hint="default"/>
      </w:rPr>
    </w:lvl>
    <w:lvl w:ilvl="4" w:tplc="77BE2268">
      <w:start w:val="1"/>
      <w:numFmt w:val="bullet"/>
      <w:lvlText w:val="o"/>
      <w:lvlJc w:val="left"/>
      <w:pPr>
        <w:ind w:left="3600" w:hanging="360"/>
      </w:pPr>
      <w:rPr>
        <w:rFonts w:ascii="Courier New" w:hAnsi="Courier New" w:hint="default"/>
      </w:rPr>
    </w:lvl>
    <w:lvl w:ilvl="5" w:tplc="52A62FD8">
      <w:start w:val="1"/>
      <w:numFmt w:val="bullet"/>
      <w:lvlText w:val=""/>
      <w:lvlJc w:val="left"/>
      <w:pPr>
        <w:ind w:left="4320" w:hanging="360"/>
      </w:pPr>
      <w:rPr>
        <w:rFonts w:ascii="Wingdings" w:hAnsi="Wingdings" w:hint="default"/>
      </w:rPr>
    </w:lvl>
    <w:lvl w:ilvl="6" w:tplc="F41A1D34">
      <w:start w:val="1"/>
      <w:numFmt w:val="bullet"/>
      <w:lvlText w:val=""/>
      <w:lvlJc w:val="left"/>
      <w:pPr>
        <w:ind w:left="5040" w:hanging="360"/>
      </w:pPr>
      <w:rPr>
        <w:rFonts w:ascii="Symbol" w:hAnsi="Symbol" w:hint="default"/>
      </w:rPr>
    </w:lvl>
    <w:lvl w:ilvl="7" w:tplc="B2B696A0">
      <w:start w:val="1"/>
      <w:numFmt w:val="bullet"/>
      <w:lvlText w:val="o"/>
      <w:lvlJc w:val="left"/>
      <w:pPr>
        <w:ind w:left="5760" w:hanging="360"/>
      </w:pPr>
      <w:rPr>
        <w:rFonts w:ascii="Courier New" w:hAnsi="Courier New" w:hint="default"/>
      </w:rPr>
    </w:lvl>
    <w:lvl w:ilvl="8" w:tplc="E3AA6D10">
      <w:start w:val="1"/>
      <w:numFmt w:val="bullet"/>
      <w:lvlText w:val=""/>
      <w:lvlJc w:val="left"/>
      <w:pPr>
        <w:ind w:left="6480" w:hanging="360"/>
      </w:pPr>
      <w:rPr>
        <w:rFonts w:ascii="Wingdings" w:hAnsi="Wingdings" w:hint="default"/>
      </w:rPr>
    </w:lvl>
  </w:abstractNum>
  <w:abstractNum w:abstractNumId="7" w15:restartNumberingAfterBreak="0">
    <w:nsid w:val="62F2E02D"/>
    <w:multiLevelType w:val="hybridMultilevel"/>
    <w:tmpl w:val="EB78E55C"/>
    <w:lvl w:ilvl="0" w:tplc="FFFFFFFF">
      <w:start w:val="1"/>
      <w:numFmt w:val="bullet"/>
      <w:lvlText w:val=""/>
      <w:lvlJc w:val="left"/>
      <w:pPr>
        <w:ind w:left="720" w:hanging="360"/>
      </w:pPr>
      <w:rPr>
        <w:rFonts w:ascii="Symbol" w:hAnsi="Symbol" w:hint="default"/>
      </w:rPr>
    </w:lvl>
    <w:lvl w:ilvl="1" w:tplc="635662A8">
      <w:start w:val="1"/>
      <w:numFmt w:val="bullet"/>
      <w:lvlText w:val="o"/>
      <w:lvlJc w:val="left"/>
      <w:pPr>
        <w:ind w:left="1440" w:hanging="360"/>
      </w:pPr>
      <w:rPr>
        <w:rFonts w:ascii="Courier New" w:hAnsi="Courier New" w:hint="default"/>
      </w:rPr>
    </w:lvl>
    <w:lvl w:ilvl="2" w:tplc="2F3C9F0C">
      <w:start w:val="1"/>
      <w:numFmt w:val="bullet"/>
      <w:lvlText w:val=""/>
      <w:lvlJc w:val="left"/>
      <w:pPr>
        <w:ind w:left="2160" w:hanging="360"/>
      </w:pPr>
      <w:rPr>
        <w:rFonts w:ascii="Wingdings" w:hAnsi="Wingdings" w:hint="default"/>
      </w:rPr>
    </w:lvl>
    <w:lvl w:ilvl="3" w:tplc="21482E84">
      <w:start w:val="1"/>
      <w:numFmt w:val="bullet"/>
      <w:lvlText w:val=""/>
      <w:lvlJc w:val="left"/>
      <w:pPr>
        <w:ind w:left="2880" w:hanging="360"/>
      </w:pPr>
      <w:rPr>
        <w:rFonts w:ascii="Symbol" w:hAnsi="Symbol" w:hint="default"/>
      </w:rPr>
    </w:lvl>
    <w:lvl w:ilvl="4" w:tplc="014AE198">
      <w:start w:val="1"/>
      <w:numFmt w:val="bullet"/>
      <w:lvlText w:val="o"/>
      <w:lvlJc w:val="left"/>
      <w:pPr>
        <w:ind w:left="3600" w:hanging="360"/>
      </w:pPr>
      <w:rPr>
        <w:rFonts w:ascii="Courier New" w:hAnsi="Courier New" w:hint="default"/>
      </w:rPr>
    </w:lvl>
    <w:lvl w:ilvl="5" w:tplc="0AA81240">
      <w:start w:val="1"/>
      <w:numFmt w:val="bullet"/>
      <w:lvlText w:val=""/>
      <w:lvlJc w:val="left"/>
      <w:pPr>
        <w:ind w:left="4320" w:hanging="360"/>
      </w:pPr>
      <w:rPr>
        <w:rFonts w:ascii="Wingdings" w:hAnsi="Wingdings" w:hint="default"/>
      </w:rPr>
    </w:lvl>
    <w:lvl w:ilvl="6" w:tplc="83B086BE">
      <w:start w:val="1"/>
      <w:numFmt w:val="bullet"/>
      <w:lvlText w:val=""/>
      <w:lvlJc w:val="left"/>
      <w:pPr>
        <w:ind w:left="5040" w:hanging="360"/>
      </w:pPr>
      <w:rPr>
        <w:rFonts w:ascii="Symbol" w:hAnsi="Symbol" w:hint="default"/>
      </w:rPr>
    </w:lvl>
    <w:lvl w:ilvl="7" w:tplc="928EC3BA">
      <w:start w:val="1"/>
      <w:numFmt w:val="bullet"/>
      <w:lvlText w:val="o"/>
      <w:lvlJc w:val="left"/>
      <w:pPr>
        <w:ind w:left="5760" w:hanging="360"/>
      </w:pPr>
      <w:rPr>
        <w:rFonts w:ascii="Courier New" w:hAnsi="Courier New" w:hint="default"/>
      </w:rPr>
    </w:lvl>
    <w:lvl w:ilvl="8" w:tplc="3DA080F2">
      <w:start w:val="1"/>
      <w:numFmt w:val="bullet"/>
      <w:lvlText w:val=""/>
      <w:lvlJc w:val="left"/>
      <w:pPr>
        <w:ind w:left="6480" w:hanging="360"/>
      </w:pPr>
      <w:rPr>
        <w:rFonts w:ascii="Wingdings" w:hAnsi="Wingdings" w:hint="default"/>
      </w:rPr>
    </w:lvl>
  </w:abstractNum>
  <w:abstractNum w:abstractNumId="8" w15:restartNumberingAfterBreak="0">
    <w:nsid w:val="7A8980C1"/>
    <w:multiLevelType w:val="hybridMultilevel"/>
    <w:tmpl w:val="5F7EE1C4"/>
    <w:lvl w:ilvl="0" w:tplc="FFFFFFFF">
      <w:start w:val="1"/>
      <w:numFmt w:val="bullet"/>
      <w:lvlText w:val=""/>
      <w:lvlJc w:val="left"/>
      <w:pPr>
        <w:ind w:left="720" w:hanging="360"/>
      </w:pPr>
      <w:rPr>
        <w:rFonts w:ascii="Symbol" w:hAnsi="Symbol" w:hint="default"/>
      </w:rPr>
    </w:lvl>
    <w:lvl w:ilvl="1" w:tplc="A96AD520">
      <w:start w:val="1"/>
      <w:numFmt w:val="bullet"/>
      <w:lvlText w:val="o"/>
      <w:lvlJc w:val="left"/>
      <w:pPr>
        <w:ind w:left="1440" w:hanging="360"/>
      </w:pPr>
      <w:rPr>
        <w:rFonts w:ascii="Courier New" w:hAnsi="Courier New" w:hint="default"/>
      </w:rPr>
    </w:lvl>
    <w:lvl w:ilvl="2" w:tplc="DC5C30BA">
      <w:start w:val="1"/>
      <w:numFmt w:val="bullet"/>
      <w:lvlText w:val=""/>
      <w:lvlJc w:val="left"/>
      <w:pPr>
        <w:ind w:left="2160" w:hanging="360"/>
      </w:pPr>
      <w:rPr>
        <w:rFonts w:ascii="Wingdings" w:hAnsi="Wingdings" w:hint="default"/>
      </w:rPr>
    </w:lvl>
    <w:lvl w:ilvl="3" w:tplc="C1E4B8BE">
      <w:start w:val="1"/>
      <w:numFmt w:val="bullet"/>
      <w:lvlText w:val=""/>
      <w:lvlJc w:val="left"/>
      <w:pPr>
        <w:ind w:left="2880" w:hanging="360"/>
      </w:pPr>
      <w:rPr>
        <w:rFonts w:ascii="Symbol" w:hAnsi="Symbol" w:hint="default"/>
      </w:rPr>
    </w:lvl>
    <w:lvl w:ilvl="4" w:tplc="C5DE5B0C">
      <w:start w:val="1"/>
      <w:numFmt w:val="bullet"/>
      <w:lvlText w:val="o"/>
      <w:lvlJc w:val="left"/>
      <w:pPr>
        <w:ind w:left="3600" w:hanging="360"/>
      </w:pPr>
      <w:rPr>
        <w:rFonts w:ascii="Courier New" w:hAnsi="Courier New" w:hint="default"/>
      </w:rPr>
    </w:lvl>
    <w:lvl w:ilvl="5" w:tplc="404E530E">
      <w:start w:val="1"/>
      <w:numFmt w:val="bullet"/>
      <w:lvlText w:val=""/>
      <w:lvlJc w:val="left"/>
      <w:pPr>
        <w:ind w:left="4320" w:hanging="360"/>
      </w:pPr>
      <w:rPr>
        <w:rFonts w:ascii="Wingdings" w:hAnsi="Wingdings" w:hint="default"/>
      </w:rPr>
    </w:lvl>
    <w:lvl w:ilvl="6" w:tplc="9FB44A4E">
      <w:start w:val="1"/>
      <w:numFmt w:val="bullet"/>
      <w:lvlText w:val=""/>
      <w:lvlJc w:val="left"/>
      <w:pPr>
        <w:ind w:left="5040" w:hanging="360"/>
      </w:pPr>
      <w:rPr>
        <w:rFonts w:ascii="Symbol" w:hAnsi="Symbol" w:hint="default"/>
      </w:rPr>
    </w:lvl>
    <w:lvl w:ilvl="7" w:tplc="EAD44BE4">
      <w:start w:val="1"/>
      <w:numFmt w:val="bullet"/>
      <w:lvlText w:val="o"/>
      <w:lvlJc w:val="left"/>
      <w:pPr>
        <w:ind w:left="5760" w:hanging="360"/>
      </w:pPr>
      <w:rPr>
        <w:rFonts w:ascii="Courier New" w:hAnsi="Courier New" w:hint="default"/>
      </w:rPr>
    </w:lvl>
    <w:lvl w:ilvl="8" w:tplc="C700FF94">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7"/>
  </w:num>
  <w:num w:numId="5">
    <w:abstractNumId w:val="2"/>
  </w:num>
  <w:num w:numId="6">
    <w:abstractNumId w:val="3"/>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bordersDoNotSurroundHeader/>
  <w:bordersDoNotSurroundFooter/>
  <w:proofState w:spelling="clean"/>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819713"/>
    <w:rsid w:val="00032A03"/>
    <w:rsid w:val="000A1B14"/>
    <w:rsid w:val="00131F2B"/>
    <w:rsid w:val="00143BA9"/>
    <w:rsid w:val="001841A8"/>
    <w:rsid w:val="002874AA"/>
    <w:rsid w:val="002A7221"/>
    <w:rsid w:val="002B498F"/>
    <w:rsid w:val="0033454C"/>
    <w:rsid w:val="0039088B"/>
    <w:rsid w:val="0039093B"/>
    <w:rsid w:val="003A5B68"/>
    <w:rsid w:val="003B4522"/>
    <w:rsid w:val="003F2FC0"/>
    <w:rsid w:val="00411FF9"/>
    <w:rsid w:val="0045311A"/>
    <w:rsid w:val="004929BE"/>
    <w:rsid w:val="004937F7"/>
    <w:rsid w:val="004E796B"/>
    <w:rsid w:val="00565568"/>
    <w:rsid w:val="00593C83"/>
    <w:rsid w:val="005E60A3"/>
    <w:rsid w:val="00602A2F"/>
    <w:rsid w:val="00652363"/>
    <w:rsid w:val="00665562"/>
    <w:rsid w:val="00716458"/>
    <w:rsid w:val="007853D1"/>
    <w:rsid w:val="007B0667"/>
    <w:rsid w:val="0081737A"/>
    <w:rsid w:val="00880322"/>
    <w:rsid w:val="00882424"/>
    <w:rsid w:val="008A2451"/>
    <w:rsid w:val="008B7C4F"/>
    <w:rsid w:val="009021CE"/>
    <w:rsid w:val="009171FC"/>
    <w:rsid w:val="00971739"/>
    <w:rsid w:val="00A83922"/>
    <w:rsid w:val="00A86D64"/>
    <w:rsid w:val="00AE34A9"/>
    <w:rsid w:val="00B824ED"/>
    <w:rsid w:val="00B85D06"/>
    <w:rsid w:val="00C472A4"/>
    <w:rsid w:val="00C758D9"/>
    <w:rsid w:val="00C97E78"/>
    <w:rsid w:val="00CC1EC6"/>
    <w:rsid w:val="00CD193B"/>
    <w:rsid w:val="00DF642A"/>
    <w:rsid w:val="00E578DD"/>
    <w:rsid w:val="00ED3DF5"/>
    <w:rsid w:val="00ED44E4"/>
    <w:rsid w:val="00EE67E4"/>
    <w:rsid w:val="00F86AFC"/>
    <w:rsid w:val="01665602"/>
    <w:rsid w:val="01776740"/>
    <w:rsid w:val="0177E940"/>
    <w:rsid w:val="01A79306"/>
    <w:rsid w:val="01B20B85"/>
    <w:rsid w:val="01B7E7A2"/>
    <w:rsid w:val="020E460F"/>
    <w:rsid w:val="021384AA"/>
    <w:rsid w:val="022188DF"/>
    <w:rsid w:val="02273722"/>
    <w:rsid w:val="02808DDC"/>
    <w:rsid w:val="0295A562"/>
    <w:rsid w:val="02AB2D7E"/>
    <w:rsid w:val="02AC750D"/>
    <w:rsid w:val="02B1A8E3"/>
    <w:rsid w:val="02B32E75"/>
    <w:rsid w:val="02D041B5"/>
    <w:rsid w:val="03879B20"/>
    <w:rsid w:val="03AE28C1"/>
    <w:rsid w:val="03CBAE6D"/>
    <w:rsid w:val="03F245AE"/>
    <w:rsid w:val="0461EF08"/>
    <w:rsid w:val="049D7E43"/>
    <w:rsid w:val="056D293E"/>
    <w:rsid w:val="0587A5D8"/>
    <w:rsid w:val="058F3AC6"/>
    <w:rsid w:val="05C6741D"/>
    <w:rsid w:val="05DC1CCF"/>
    <w:rsid w:val="0653061B"/>
    <w:rsid w:val="065A66CF"/>
    <w:rsid w:val="072CF911"/>
    <w:rsid w:val="07851A06"/>
    <w:rsid w:val="079F221F"/>
    <w:rsid w:val="08733F4E"/>
    <w:rsid w:val="0881E255"/>
    <w:rsid w:val="0889BB10"/>
    <w:rsid w:val="08A1F4DA"/>
    <w:rsid w:val="08BA40E0"/>
    <w:rsid w:val="0A315146"/>
    <w:rsid w:val="0A4D5F56"/>
    <w:rsid w:val="0A507E33"/>
    <w:rsid w:val="0AC3780F"/>
    <w:rsid w:val="0AD6C2E1"/>
    <w:rsid w:val="0AF4F5E6"/>
    <w:rsid w:val="0B030A0C"/>
    <w:rsid w:val="0B21C931"/>
    <w:rsid w:val="0B5357E0"/>
    <w:rsid w:val="0B9CACA9"/>
    <w:rsid w:val="0BB17918"/>
    <w:rsid w:val="0BB70DCD"/>
    <w:rsid w:val="0BD6BB12"/>
    <w:rsid w:val="0BF0FD6C"/>
    <w:rsid w:val="0C200306"/>
    <w:rsid w:val="0C6C217C"/>
    <w:rsid w:val="0CF7D18F"/>
    <w:rsid w:val="0D0BBDAB"/>
    <w:rsid w:val="0D7A60F7"/>
    <w:rsid w:val="0D82045B"/>
    <w:rsid w:val="0E574610"/>
    <w:rsid w:val="0F0A880C"/>
    <w:rsid w:val="0F2A2BEA"/>
    <w:rsid w:val="0F859DE0"/>
    <w:rsid w:val="0F8D5241"/>
    <w:rsid w:val="10059461"/>
    <w:rsid w:val="1031E26F"/>
    <w:rsid w:val="104026DF"/>
    <w:rsid w:val="104FBAD1"/>
    <w:rsid w:val="10648171"/>
    <w:rsid w:val="10A67CC0"/>
    <w:rsid w:val="10CC564A"/>
    <w:rsid w:val="11224795"/>
    <w:rsid w:val="115897DE"/>
    <w:rsid w:val="1173D115"/>
    <w:rsid w:val="11AF730D"/>
    <w:rsid w:val="11C62CB1"/>
    <w:rsid w:val="11D57BDB"/>
    <w:rsid w:val="121EC98A"/>
    <w:rsid w:val="125F4BBC"/>
    <w:rsid w:val="12703860"/>
    <w:rsid w:val="12B06116"/>
    <w:rsid w:val="12CA4934"/>
    <w:rsid w:val="135823DF"/>
    <w:rsid w:val="13AAD320"/>
    <w:rsid w:val="13F2532D"/>
    <w:rsid w:val="13F36F05"/>
    <w:rsid w:val="142082F5"/>
    <w:rsid w:val="143B1C35"/>
    <w:rsid w:val="14647CCA"/>
    <w:rsid w:val="14BCF659"/>
    <w:rsid w:val="152AF9F7"/>
    <w:rsid w:val="154DEDCB"/>
    <w:rsid w:val="161898DE"/>
    <w:rsid w:val="161F895C"/>
    <w:rsid w:val="167B5D17"/>
    <w:rsid w:val="1696C6F7"/>
    <w:rsid w:val="16C850C4"/>
    <w:rsid w:val="16D46A5A"/>
    <w:rsid w:val="16FB4E6F"/>
    <w:rsid w:val="1710DEF1"/>
    <w:rsid w:val="17370D6E"/>
    <w:rsid w:val="1794C26B"/>
    <w:rsid w:val="17E2CAFE"/>
    <w:rsid w:val="17F1AA96"/>
    <w:rsid w:val="1828573C"/>
    <w:rsid w:val="182BDFA7"/>
    <w:rsid w:val="183F984F"/>
    <w:rsid w:val="18703ABB"/>
    <w:rsid w:val="18A3B4EC"/>
    <w:rsid w:val="18B772A8"/>
    <w:rsid w:val="18BC5701"/>
    <w:rsid w:val="18D70BF8"/>
    <w:rsid w:val="18F6BC69"/>
    <w:rsid w:val="192D3443"/>
    <w:rsid w:val="194A86FB"/>
    <w:rsid w:val="1A2B09FB"/>
    <w:rsid w:val="1A3611BD"/>
    <w:rsid w:val="1A3F2E83"/>
    <w:rsid w:val="1A84FFFA"/>
    <w:rsid w:val="1ACCD795"/>
    <w:rsid w:val="1AD450B3"/>
    <w:rsid w:val="1B39EAE8"/>
    <w:rsid w:val="1BACF5DD"/>
    <w:rsid w:val="1BDDE717"/>
    <w:rsid w:val="1BEF0101"/>
    <w:rsid w:val="1BF2352F"/>
    <w:rsid w:val="1C79D407"/>
    <w:rsid w:val="1CB81FA7"/>
    <w:rsid w:val="1D2B2254"/>
    <w:rsid w:val="1D497622"/>
    <w:rsid w:val="1DA69912"/>
    <w:rsid w:val="1DCC18B2"/>
    <w:rsid w:val="1E4FBBB1"/>
    <w:rsid w:val="1EBDFA60"/>
    <w:rsid w:val="1EC1C737"/>
    <w:rsid w:val="1ED0317B"/>
    <w:rsid w:val="1F2DDC69"/>
    <w:rsid w:val="2001D253"/>
    <w:rsid w:val="2025B6B5"/>
    <w:rsid w:val="205576BE"/>
    <w:rsid w:val="208B2813"/>
    <w:rsid w:val="20C417B1"/>
    <w:rsid w:val="20F71D7D"/>
    <w:rsid w:val="215AA709"/>
    <w:rsid w:val="217FAE68"/>
    <w:rsid w:val="21C18716"/>
    <w:rsid w:val="227B258B"/>
    <w:rsid w:val="22B18D64"/>
    <w:rsid w:val="22D3FC23"/>
    <w:rsid w:val="23677448"/>
    <w:rsid w:val="2376D3A3"/>
    <w:rsid w:val="23A6BA4C"/>
    <w:rsid w:val="23B1CAF9"/>
    <w:rsid w:val="23C4A4DB"/>
    <w:rsid w:val="245E3A47"/>
    <w:rsid w:val="24A2A0D5"/>
    <w:rsid w:val="24BD971B"/>
    <w:rsid w:val="24CEBC02"/>
    <w:rsid w:val="24CF5574"/>
    <w:rsid w:val="25E5BB5E"/>
    <w:rsid w:val="260A0D46"/>
    <w:rsid w:val="261DB215"/>
    <w:rsid w:val="26444AB6"/>
    <w:rsid w:val="2665699E"/>
    <w:rsid w:val="267A9950"/>
    <w:rsid w:val="2680B8E8"/>
    <w:rsid w:val="2683A51C"/>
    <w:rsid w:val="26A85C76"/>
    <w:rsid w:val="26B0D394"/>
    <w:rsid w:val="26B3090C"/>
    <w:rsid w:val="271CA84E"/>
    <w:rsid w:val="276A14C1"/>
    <w:rsid w:val="277B3AFA"/>
    <w:rsid w:val="27DF6D76"/>
    <w:rsid w:val="2805352C"/>
    <w:rsid w:val="2830C89A"/>
    <w:rsid w:val="2896E612"/>
    <w:rsid w:val="28A7CF9B"/>
    <w:rsid w:val="28C829E8"/>
    <w:rsid w:val="28DF2FF7"/>
    <w:rsid w:val="293CF532"/>
    <w:rsid w:val="296B9AE4"/>
    <w:rsid w:val="2999476A"/>
    <w:rsid w:val="29D10F29"/>
    <w:rsid w:val="2A2D1740"/>
    <w:rsid w:val="2A634257"/>
    <w:rsid w:val="2ACAAFFB"/>
    <w:rsid w:val="2B010E1B"/>
    <w:rsid w:val="2B1B8F84"/>
    <w:rsid w:val="2BA44E77"/>
    <w:rsid w:val="2BEDE654"/>
    <w:rsid w:val="2BF9C6F1"/>
    <w:rsid w:val="2C4E7AA9"/>
    <w:rsid w:val="2C60E68E"/>
    <w:rsid w:val="2D750127"/>
    <w:rsid w:val="2EA360F4"/>
    <w:rsid w:val="2F727058"/>
    <w:rsid w:val="2F8D840C"/>
    <w:rsid w:val="2F8DC43B"/>
    <w:rsid w:val="2FC8A4D5"/>
    <w:rsid w:val="2FE22509"/>
    <w:rsid w:val="2FF89C66"/>
    <w:rsid w:val="30DFBF8A"/>
    <w:rsid w:val="3121C5C9"/>
    <w:rsid w:val="312DDA74"/>
    <w:rsid w:val="31409697"/>
    <w:rsid w:val="31493418"/>
    <w:rsid w:val="320A157F"/>
    <w:rsid w:val="3234AA99"/>
    <w:rsid w:val="328E4A22"/>
    <w:rsid w:val="32AAA8D4"/>
    <w:rsid w:val="32D1018F"/>
    <w:rsid w:val="332D7D15"/>
    <w:rsid w:val="333F9EA6"/>
    <w:rsid w:val="33737B41"/>
    <w:rsid w:val="337B68C7"/>
    <w:rsid w:val="33A6D61C"/>
    <w:rsid w:val="33AB66A4"/>
    <w:rsid w:val="33B997D2"/>
    <w:rsid w:val="33CD1508"/>
    <w:rsid w:val="34CCAE28"/>
    <w:rsid w:val="354F9736"/>
    <w:rsid w:val="35C62441"/>
    <w:rsid w:val="35E98B33"/>
    <w:rsid w:val="3613FEC7"/>
    <w:rsid w:val="3628EE0E"/>
    <w:rsid w:val="3631DC21"/>
    <w:rsid w:val="3696D8F9"/>
    <w:rsid w:val="36AD5BE6"/>
    <w:rsid w:val="36F3EBD1"/>
    <w:rsid w:val="37251EB5"/>
    <w:rsid w:val="374D37E8"/>
    <w:rsid w:val="3756A380"/>
    <w:rsid w:val="37704DDD"/>
    <w:rsid w:val="37A29359"/>
    <w:rsid w:val="38422A13"/>
    <w:rsid w:val="388A69BE"/>
    <w:rsid w:val="388AB463"/>
    <w:rsid w:val="38B76567"/>
    <w:rsid w:val="38E0C228"/>
    <w:rsid w:val="390A5022"/>
    <w:rsid w:val="39113F38"/>
    <w:rsid w:val="397CC666"/>
    <w:rsid w:val="397D43AD"/>
    <w:rsid w:val="399CF511"/>
    <w:rsid w:val="3A3679B6"/>
    <w:rsid w:val="3A5CD858"/>
    <w:rsid w:val="3A89A5E0"/>
    <w:rsid w:val="3B238F53"/>
    <w:rsid w:val="3B434F19"/>
    <w:rsid w:val="3B8496CD"/>
    <w:rsid w:val="3BE9A4BB"/>
    <w:rsid w:val="3C2F923B"/>
    <w:rsid w:val="3CB8E94D"/>
    <w:rsid w:val="3D24CCB4"/>
    <w:rsid w:val="3D7D15B2"/>
    <w:rsid w:val="3E386517"/>
    <w:rsid w:val="3E6DBF34"/>
    <w:rsid w:val="3EBE1B6E"/>
    <w:rsid w:val="3F20B696"/>
    <w:rsid w:val="3F323922"/>
    <w:rsid w:val="3F964929"/>
    <w:rsid w:val="404B1089"/>
    <w:rsid w:val="4059EBCF"/>
    <w:rsid w:val="40CD7370"/>
    <w:rsid w:val="40D611DC"/>
    <w:rsid w:val="40D9B552"/>
    <w:rsid w:val="411B3727"/>
    <w:rsid w:val="415FF9CD"/>
    <w:rsid w:val="41D990AF"/>
    <w:rsid w:val="41DE5B7A"/>
    <w:rsid w:val="42494312"/>
    <w:rsid w:val="427CD0EA"/>
    <w:rsid w:val="4281B606"/>
    <w:rsid w:val="42CA663A"/>
    <w:rsid w:val="433EABC3"/>
    <w:rsid w:val="43463E8A"/>
    <w:rsid w:val="4346DF52"/>
    <w:rsid w:val="43596948"/>
    <w:rsid w:val="436F5E37"/>
    <w:rsid w:val="43E3BBD3"/>
    <w:rsid w:val="444F3F2E"/>
    <w:rsid w:val="44819713"/>
    <w:rsid w:val="44C37F6B"/>
    <w:rsid w:val="44E76B30"/>
    <w:rsid w:val="452D5CF2"/>
    <w:rsid w:val="45496CE0"/>
    <w:rsid w:val="46734DB1"/>
    <w:rsid w:val="472201BA"/>
    <w:rsid w:val="47B09585"/>
    <w:rsid w:val="47B4B81B"/>
    <w:rsid w:val="47CAA7EF"/>
    <w:rsid w:val="481EB266"/>
    <w:rsid w:val="486F12AA"/>
    <w:rsid w:val="49667850"/>
    <w:rsid w:val="49AD9421"/>
    <w:rsid w:val="49C0953A"/>
    <w:rsid w:val="49FCDC9E"/>
    <w:rsid w:val="49FFF10B"/>
    <w:rsid w:val="4A0AE30B"/>
    <w:rsid w:val="4A0BE4B9"/>
    <w:rsid w:val="4A0CA947"/>
    <w:rsid w:val="4A56F7CA"/>
    <w:rsid w:val="4A93589C"/>
    <w:rsid w:val="4AF22549"/>
    <w:rsid w:val="4BA6B36C"/>
    <w:rsid w:val="4C4BBDB1"/>
    <w:rsid w:val="4D34EBA9"/>
    <w:rsid w:val="4D3791CD"/>
    <w:rsid w:val="4D67B583"/>
    <w:rsid w:val="4DA5464B"/>
    <w:rsid w:val="4DE759F0"/>
    <w:rsid w:val="4DEF0C64"/>
    <w:rsid w:val="4DF9A821"/>
    <w:rsid w:val="4E447D1D"/>
    <w:rsid w:val="4EB3ECC5"/>
    <w:rsid w:val="4FF0FA17"/>
    <w:rsid w:val="500DDC06"/>
    <w:rsid w:val="5023F8B1"/>
    <w:rsid w:val="502A7F5C"/>
    <w:rsid w:val="5042A66A"/>
    <w:rsid w:val="505A4D97"/>
    <w:rsid w:val="50AB98E5"/>
    <w:rsid w:val="50EBC24A"/>
    <w:rsid w:val="50F832AC"/>
    <w:rsid w:val="51231D09"/>
    <w:rsid w:val="514AAA2F"/>
    <w:rsid w:val="51B515D9"/>
    <w:rsid w:val="51F976A0"/>
    <w:rsid w:val="52124110"/>
    <w:rsid w:val="521C319D"/>
    <w:rsid w:val="526123F1"/>
    <w:rsid w:val="527AC2B5"/>
    <w:rsid w:val="52F55621"/>
    <w:rsid w:val="532AC1AB"/>
    <w:rsid w:val="5345BFBC"/>
    <w:rsid w:val="539B15D8"/>
    <w:rsid w:val="54122B84"/>
    <w:rsid w:val="546D507E"/>
    <w:rsid w:val="549EF1ED"/>
    <w:rsid w:val="54B1187D"/>
    <w:rsid w:val="54CDA3E8"/>
    <w:rsid w:val="54DFA996"/>
    <w:rsid w:val="54F1C5CA"/>
    <w:rsid w:val="55269903"/>
    <w:rsid w:val="5535D983"/>
    <w:rsid w:val="553FFD8E"/>
    <w:rsid w:val="5567DCCA"/>
    <w:rsid w:val="55956011"/>
    <w:rsid w:val="56626216"/>
    <w:rsid w:val="566A3DE0"/>
    <w:rsid w:val="56B6A58D"/>
    <w:rsid w:val="572E0859"/>
    <w:rsid w:val="5757F0F3"/>
    <w:rsid w:val="57A4489A"/>
    <w:rsid w:val="58406F93"/>
    <w:rsid w:val="58818654"/>
    <w:rsid w:val="58BEE97D"/>
    <w:rsid w:val="59512EC8"/>
    <w:rsid w:val="598448CA"/>
    <w:rsid w:val="5A21ADDF"/>
    <w:rsid w:val="5AA8F690"/>
    <w:rsid w:val="5AE00959"/>
    <w:rsid w:val="5AE9FAC2"/>
    <w:rsid w:val="5AF18C75"/>
    <w:rsid w:val="5B1F5651"/>
    <w:rsid w:val="5B369787"/>
    <w:rsid w:val="5B4FD30B"/>
    <w:rsid w:val="5B681C91"/>
    <w:rsid w:val="5BD946E8"/>
    <w:rsid w:val="5BDBC904"/>
    <w:rsid w:val="5C080D01"/>
    <w:rsid w:val="5C26679A"/>
    <w:rsid w:val="5C31EADC"/>
    <w:rsid w:val="5C75623C"/>
    <w:rsid w:val="5C8EB658"/>
    <w:rsid w:val="5CEAFB44"/>
    <w:rsid w:val="5D1B6444"/>
    <w:rsid w:val="5D515F30"/>
    <w:rsid w:val="5D829A91"/>
    <w:rsid w:val="5DDA4A10"/>
    <w:rsid w:val="5E299B80"/>
    <w:rsid w:val="5E522D40"/>
    <w:rsid w:val="5E624472"/>
    <w:rsid w:val="5EA96956"/>
    <w:rsid w:val="5FA520C0"/>
    <w:rsid w:val="5FC50B82"/>
    <w:rsid w:val="60014981"/>
    <w:rsid w:val="601D0E0F"/>
    <w:rsid w:val="60481C23"/>
    <w:rsid w:val="6094F0FA"/>
    <w:rsid w:val="60ACB80B"/>
    <w:rsid w:val="60C9B0BD"/>
    <w:rsid w:val="616492D3"/>
    <w:rsid w:val="619D715D"/>
    <w:rsid w:val="61D809C7"/>
    <w:rsid w:val="61D9089D"/>
    <w:rsid w:val="61E0DE66"/>
    <w:rsid w:val="6225FFD3"/>
    <w:rsid w:val="623C9509"/>
    <w:rsid w:val="625490EC"/>
    <w:rsid w:val="633FDFC8"/>
    <w:rsid w:val="63A24C82"/>
    <w:rsid w:val="63A825D7"/>
    <w:rsid w:val="63C5E40C"/>
    <w:rsid w:val="63D2934D"/>
    <w:rsid w:val="64AEF277"/>
    <w:rsid w:val="64C88F08"/>
    <w:rsid w:val="64CAF54F"/>
    <w:rsid w:val="64FBB569"/>
    <w:rsid w:val="656E9C2C"/>
    <w:rsid w:val="6574C998"/>
    <w:rsid w:val="66FBC978"/>
    <w:rsid w:val="6707CAC7"/>
    <w:rsid w:val="671FC9E4"/>
    <w:rsid w:val="674BA55F"/>
    <w:rsid w:val="6789B26F"/>
    <w:rsid w:val="67B12D4B"/>
    <w:rsid w:val="67CC1E06"/>
    <w:rsid w:val="67D00F7D"/>
    <w:rsid w:val="67E993EB"/>
    <w:rsid w:val="68002FCA"/>
    <w:rsid w:val="681A083C"/>
    <w:rsid w:val="683CD54E"/>
    <w:rsid w:val="689799D9"/>
    <w:rsid w:val="68B4EFF0"/>
    <w:rsid w:val="696BDFDE"/>
    <w:rsid w:val="69B47090"/>
    <w:rsid w:val="69BA9D15"/>
    <w:rsid w:val="69C46106"/>
    <w:rsid w:val="69F58941"/>
    <w:rsid w:val="6A754800"/>
    <w:rsid w:val="6AAAA449"/>
    <w:rsid w:val="6B3BCF5A"/>
    <w:rsid w:val="6B469E09"/>
    <w:rsid w:val="6B4E0EA6"/>
    <w:rsid w:val="6B5187E8"/>
    <w:rsid w:val="6B5EF104"/>
    <w:rsid w:val="6B6BCA69"/>
    <w:rsid w:val="6B8F1878"/>
    <w:rsid w:val="6BDD3014"/>
    <w:rsid w:val="6C2B0735"/>
    <w:rsid w:val="6C3B492A"/>
    <w:rsid w:val="6C5981FB"/>
    <w:rsid w:val="6C637CA6"/>
    <w:rsid w:val="6CCF0979"/>
    <w:rsid w:val="6D2D238C"/>
    <w:rsid w:val="6D3E2498"/>
    <w:rsid w:val="6D5C3B50"/>
    <w:rsid w:val="6DB67944"/>
    <w:rsid w:val="6DDAD636"/>
    <w:rsid w:val="6E306EAC"/>
    <w:rsid w:val="6E5AF8BE"/>
    <w:rsid w:val="6EE553D2"/>
    <w:rsid w:val="6FD34BD5"/>
    <w:rsid w:val="6FD5E455"/>
    <w:rsid w:val="701DD73A"/>
    <w:rsid w:val="701E9EBC"/>
    <w:rsid w:val="704F9CBF"/>
    <w:rsid w:val="7088DE86"/>
    <w:rsid w:val="70A072D9"/>
    <w:rsid w:val="70D2E98A"/>
    <w:rsid w:val="71C68B18"/>
    <w:rsid w:val="71D3C027"/>
    <w:rsid w:val="71D832DE"/>
    <w:rsid w:val="71DDA94C"/>
    <w:rsid w:val="7228FA75"/>
    <w:rsid w:val="733946CC"/>
    <w:rsid w:val="740926B6"/>
    <w:rsid w:val="747DD9C7"/>
    <w:rsid w:val="74D5428C"/>
    <w:rsid w:val="74DD3172"/>
    <w:rsid w:val="74E29A75"/>
    <w:rsid w:val="751DFFAB"/>
    <w:rsid w:val="75306F09"/>
    <w:rsid w:val="7540F1A5"/>
    <w:rsid w:val="75892D1B"/>
    <w:rsid w:val="75B046BC"/>
    <w:rsid w:val="75D8E646"/>
    <w:rsid w:val="75FAFB62"/>
    <w:rsid w:val="7638C785"/>
    <w:rsid w:val="765068AA"/>
    <w:rsid w:val="7674B7E3"/>
    <w:rsid w:val="7677FD26"/>
    <w:rsid w:val="76A50C23"/>
    <w:rsid w:val="76AD77BC"/>
    <w:rsid w:val="77E4F5A8"/>
    <w:rsid w:val="780CB7EF"/>
    <w:rsid w:val="78511E7D"/>
    <w:rsid w:val="787C1212"/>
    <w:rsid w:val="78DE46AC"/>
    <w:rsid w:val="790F76D0"/>
    <w:rsid w:val="79360DE4"/>
    <w:rsid w:val="7A47EC0F"/>
    <w:rsid w:val="7A8E89EC"/>
    <w:rsid w:val="7AABBDBB"/>
    <w:rsid w:val="7AB182CC"/>
    <w:rsid w:val="7B28BF7F"/>
    <w:rsid w:val="7B54AD77"/>
    <w:rsid w:val="7B65310F"/>
    <w:rsid w:val="7BB3B2D4"/>
    <w:rsid w:val="7BE90716"/>
    <w:rsid w:val="7C2BC97A"/>
    <w:rsid w:val="7C466C22"/>
    <w:rsid w:val="7C8123DD"/>
    <w:rsid w:val="7C924B03"/>
    <w:rsid w:val="7CD7C374"/>
    <w:rsid w:val="7D9888AB"/>
    <w:rsid w:val="7DAD1CB8"/>
    <w:rsid w:val="7E0A860D"/>
    <w:rsid w:val="7E7FC9C8"/>
    <w:rsid w:val="7E9DA722"/>
    <w:rsid w:val="7EA3C61B"/>
    <w:rsid w:val="7F391BE4"/>
    <w:rsid w:val="7F48ED19"/>
    <w:rsid w:val="7F54BF1B"/>
    <w:rsid w:val="7FDB96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19713"/>
  <w15:chartTrackingRefBased/>
  <w15:docId w15:val="{5FB3E139-551C-44E6-9699-9EFFB1E71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39088B"/>
  </w:style>
  <w:style w:type="paragraph" w:styleId="berschrift1">
    <w:name w:val="heading 1"/>
    <w:basedOn w:val="Standard"/>
    <w:next w:val="Standard"/>
    <w:link w:val="berschrift1Zchn"/>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Pr>
      <w:rFonts w:eastAsiaTheme="majorEastAsia" w:cstheme="majorBidi"/>
      <w:color w:val="272727" w:themeColor="text1" w:themeTint="D8"/>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Untertitel">
    <w:name w:val="Subtitle"/>
    <w:basedOn w:val="Standard"/>
    <w:next w:val="Standard"/>
    <w:link w:val="UntertitelZchn"/>
    <w:uiPriority w:val="11"/>
    <w:qFormat/>
    <w:pPr>
      <w:numPr>
        <w:ilvl w:val="1"/>
      </w:numPr>
    </w:pPr>
    <w:rPr>
      <w:rFonts w:eastAsiaTheme="majorEastAsia" w:cstheme="majorBidi"/>
      <w:color w:val="595959" w:themeColor="text1" w:themeTint="A6"/>
      <w:spacing w:val="15"/>
      <w:sz w:val="28"/>
      <w:szCs w:val="28"/>
    </w:rPr>
  </w:style>
  <w:style w:type="character" w:styleId="IntensiveHervorhebung">
    <w:name w:val="Intense Emphasis"/>
    <w:basedOn w:val="Absatz-Standardschriftart"/>
    <w:uiPriority w:val="21"/>
    <w:qFormat/>
    <w:rPr>
      <w:i/>
      <w:iCs/>
      <w:color w:val="0F4761" w:themeColor="accent1" w:themeShade="BF"/>
    </w:rPr>
  </w:style>
  <w:style w:type="character" w:customStyle="1" w:styleId="ZitatZchn">
    <w:name w:val="Zitat Zchn"/>
    <w:basedOn w:val="Absatz-Standardschriftart"/>
    <w:link w:val="Zitat"/>
    <w:uiPriority w:val="29"/>
    <w:rPr>
      <w:i/>
      <w:iCs/>
      <w:color w:val="404040" w:themeColor="text1" w:themeTint="BF"/>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character" w:styleId="Fett">
    <w:name w:val="Strong"/>
    <w:basedOn w:val="Absatz-Standardschriftart"/>
    <w:uiPriority w:val="22"/>
    <w:qFormat/>
    <w:rPr>
      <w:b/>
      <w:bCs/>
    </w:rPr>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467886" w:themeColor="hyperlink"/>
      <w:u w:val="single"/>
    </w:rPr>
  </w:style>
  <w:style w:type="character" w:styleId="Kommentarzeichen">
    <w:name w:val="annotation reference"/>
    <w:basedOn w:val="Absatz-Standardschriftart"/>
    <w:uiPriority w:val="99"/>
    <w:semiHidden/>
    <w:unhideWhenUsed/>
    <w:rsid w:val="00A83922"/>
    <w:rPr>
      <w:sz w:val="16"/>
      <w:szCs w:val="16"/>
    </w:rPr>
  </w:style>
  <w:style w:type="paragraph" w:styleId="Kommentartext">
    <w:name w:val="annotation text"/>
    <w:basedOn w:val="Standard"/>
    <w:link w:val="KommentartextZchn"/>
    <w:uiPriority w:val="99"/>
    <w:semiHidden/>
    <w:unhideWhenUsed/>
    <w:rsid w:val="00A8392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83922"/>
    <w:rPr>
      <w:sz w:val="20"/>
      <w:szCs w:val="20"/>
    </w:rPr>
  </w:style>
  <w:style w:type="paragraph" w:styleId="Kommentarthema">
    <w:name w:val="annotation subject"/>
    <w:basedOn w:val="Kommentartext"/>
    <w:next w:val="Kommentartext"/>
    <w:link w:val="KommentarthemaZchn"/>
    <w:uiPriority w:val="99"/>
    <w:semiHidden/>
    <w:unhideWhenUsed/>
    <w:rsid w:val="00A83922"/>
    <w:rPr>
      <w:b/>
      <w:bCs/>
    </w:rPr>
  </w:style>
  <w:style w:type="character" w:customStyle="1" w:styleId="KommentarthemaZchn">
    <w:name w:val="Kommentarthema Zchn"/>
    <w:basedOn w:val="KommentartextZchn"/>
    <w:link w:val="Kommentarthema"/>
    <w:uiPriority w:val="99"/>
    <w:semiHidden/>
    <w:rsid w:val="00A83922"/>
    <w:rPr>
      <w:b/>
      <w:bCs/>
      <w:sz w:val="20"/>
      <w:szCs w:val="20"/>
    </w:rPr>
  </w:style>
  <w:style w:type="paragraph" w:styleId="Sprechblasentext">
    <w:name w:val="Balloon Text"/>
    <w:basedOn w:val="Standard"/>
    <w:link w:val="SprechblasentextZchn"/>
    <w:uiPriority w:val="99"/>
    <w:semiHidden/>
    <w:unhideWhenUsed/>
    <w:rsid w:val="00A8392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83922"/>
    <w:rPr>
      <w:rFonts w:ascii="Segoe UI" w:hAnsi="Segoe UI" w:cs="Segoe UI"/>
      <w:sz w:val="18"/>
      <w:szCs w:val="18"/>
    </w:rPr>
  </w:style>
  <w:style w:type="character" w:styleId="NichtaufgelsteErwhnung">
    <w:name w:val="Unresolved Mention"/>
    <w:basedOn w:val="Absatz-Standardschriftart"/>
    <w:uiPriority w:val="99"/>
    <w:semiHidden/>
    <w:unhideWhenUsed/>
    <w:rsid w:val="00C472A4"/>
    <w:rPr>
      <w:color w:val="605E5C"/>
      <w:shd w:val="clear" w:color="auto" w:fill="E1DFDD"/>
    </w:rPr>
  </w:style>
  <w:style w:type="character" w:customStyle="1" w:styleId="ui-provider">
    <w:name w:val="ui-provider"/>
    <w:basedOn w:val="Absatz-Standardschriftart"/>
    <w:rsid w:val="007853D1"/>
  </w:style>
  <w:style w:type="paragraph" w:styleId="berarbeitung">
    <w:name w:val="Revision"/>
    <w:hidden/>
    <w:uiPriority w:val="99"/>
    <w:semiHidden/>
    <w:rsid w:val="004E796B"/>
    <w:pPr>
      <w:spacing w:after="0" w:line="240" w:lineRule="auto"/>
    </w:pPr>
  </w:style>
  <w:style w:type="character" w:styleId="BesuchterLink">
    <w:name w:val="FollowedHyperlink"/>
    <w:basedOn w:val="Absatz-Standardschriftart"/>
    <w:uiPriority w:val="99"/>
    <w:semiHidden/>
    <w:unhideWhenUsed/>
    <w:rsid w:val="00F86AFC"/>
    <w:rPr>
      <w:color w:val="96607D" w:themeColor="followedHyperlink"/>
      <w:u w:val="single"/>
    </w:rPr>
  </w:style>
  <w:style w:type="character" w:styleId="Erwhnung">
    <w:name w:val="Mention"/>
    <w:basedOn w:val="Absatz-Standardschriftart"/>
    <w:uiPriority w:val="99"/>
    <w:unhideWhenUsed/>
    <w:rPr>
      <w:color w:val="2B579A"/>
      <w:shd w:val="clear" w:color="auto" w:fill="E6E6E6"/>
    </w:rPr>
  </w:style>
  <w:style w:type="paragraph" w:styleId="Kopfzeile">
    <w:name w:val="header"/>
    <w:basedOn w:val="Standard"/>
    <w:link w:val="KopfzeileZchn"/>
    <w:uiPriority w:val="99"/>
    <w:unhideWhenUsed/>
    <w:rsid w:val="008A24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2451"/>
  </w:style>
  <w:style w:type="paragraph" w:styleId="Fuzeile">
    <w:name w:val="footer"/>
    <w:basedOn w:val="Standard"/>
    <w:link w:val="FuzeileZchn"/>
    <w:uiPriority w:val="99"/>
    <w:unhideWhenUsed/>
    <w:rsid w:val="008A24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2451"/>
  </w:style>
</w:styles>
</file>

<file path=word/tasks.xml><?xml version="1.0" encoding="utf-8"?>
<t:Tasks xmlns:t="http://schemas.microsoft.com/office/tasks/2019/documenttasks" xmlns:oel="http://schemas.microsoft.com/office/2019/extlst">
  <t:Task id="{2DBFF87C-568B-4AC8-9071-697F26882DB1}">
    <t:Anchor>
      <t:Comment id="105810171"/>
    </t:Anchor>
    <t:History>
      <t:Event id="{48AA29AD-048F-416C-9BE5-5B48405E02E1}" time="2024-04-25T11:07:36.695Z">
        <t:Attribution userId="S::julia.isken@tcl.com::14386f86-6085-4189-a99f-bde4dad75037" userProvider="AD" userName="Julia Isken"/>
        <t:Anchor>
          <t:Comment id="105810171"/>
        </t:Anchor>
        <t:Create/>
      </t:Event>
      <t:Event id="{D0406E72-8BD3-4927-87C2-8714DA3C75E6}" time="2024-04-25T11:07:36.695Z">
        <t:Attribution userId="S::julia.isken@tcl.com::14386f86-6085-4189-a99f-bde4dad75037" userProvider="AD" userName="Julia Isken"/>
        <t:Anchor>
          <t:Comment id="105810171"/>
        </t:Anchor>
        <t:Assign userId="S::mason.zhong@tcl.com::f99e9a10-f5b5-4d2f-868b-3a2b7789c54f" userProvider="AD" userName="Mason Z. 钟明伟"/>
      </t:Event>
      <t:Event id="{80D3C352-DFB9-4CA7-B517-15A83F3AA49F}" time="2024-04-25T11:07:36.695Z">
        <t:Attribution userId="S::julia.isken@tcl.com::14386f86-6085-4189-a99f-bde4dad75037" userProvider="AD" userName="Julia Isken"/>
        <t:Anchor>
          <t:Comment id="105810171"/>
        </t:Anchor>
        <t:SetTitle title="@Mason OK to replace the paragraph as suggested here? @Mason Z. 钟明伟 to avoid the words in yellow? if OK, I send it out"/>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348496">
      <w:bodyDiv w:val="1"/>
      <w:marLeft w:val="0"/>
      <w:marRight w:val="0"/>
      <w:marTop w:val="0"/>
      <w:marBottom w:val="0"/>
      <w:divBdr>
        <w:top w:val="none" w:sz="0" w:space="0" w:color="auto"/>
        <w:left w:val="none" w:sz="0" w:space="0" w:color="auto"/>
        <w:bottom w:val="none" w:sz="0" w:space="0" w:color="auto"/>
        <w:right w:val="none" w:sz="0" w:space="0" w:color="auto"/>
      </w:divBdr>
      <w:divsChild>
        <w:div w:id="1317150069">
          <w:marLeft w:val="0"/>
          <w:marRight w:val="0"/>
          <w:marTop w:val="0"/>
          <w:marBottom w:val="0"/>
          <w:divBdr>
            <w:top w:val="none" w:sz="0" w:space="0" w:color="auto"/>
            <w:left w:val="none" w:sz="0" w:space="0" w:color="auto"/>
            <w:bottom w:val="none" w:sz="0" w:space="0" w:color="auto"/>
            <w:right w:val="none" w:sz="0" w:space="0" w:color="auto"/>
          </w:divBdr>
        </w:div>
        <w:div w:id="1011637949">
          <w:marLeft w:val="0"/>
          <w:marRight w:val="0"/>
          <w:marTop w:val="0"/>
          <w:marBottom w:val="0"/>
          <w:divBdr>
            <w:top w:val="none" w:sz="0" w:space="0" w:color="auto"/>
            <w:left w:val="none" w:sz="0" w:space="0" w:color="auto"/>
            <w:bottom w:val="none" w:sz="0" w:space="0" w:color="auto"/>
            <w:right w:val="none" w:sz="0" w:space="0" w:color="auto"/>
          </w:divBdr>
          <w:divsChild>
            <w:div w:id="9556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7166">
      <w:bodyDiv w:val="1"/>
      <w:marLeft w:val="0"/>
      <w:marRight w:val="0"/>
      <w:marTop w:val="0"/>
      <w:marBottom w:val="0"/>
      <w:divBdr>
        <w:top w:val="none" w:sz="0" w:space="0" w:color="auto"/>
        <w:left w:val="none" w:sz="0" w:space="0" w:color="auto"/>
        <w:bottom w:val="none" w:sz="0" w:space="0" w:color="auto"/>
        <w:right w:val="none" w:sz="0" w:space="0" w:color="auto"/>
      </w:divBdr>
    </w:div>
    <w:div w:id="753672703">
      <w:bodyDiv w:val="1"/>
      <w:marLeft w:val="0"/>
      <w:marRight w:val="0"/>
      <w:marTop w:val="0"/>
      <w:marBottom w:val="0"/>
      <w:divBdr>
        <w:top w:val="none" w:sz="0" w:space="0" w:color="auto"/>
        <w:left w:val="none" w:sz="0" w:space="0" w:color="auto"/>
        <w:bottom w:val="none" w:sz="0" w:space="0" w:color="auto"/>
        <w:right w:val="none" w:sz="0" w:space="0" w:color="auto"/>
      </w:divBdr>
      <w:divsChild>
        <w:div w:id="657080759">
          <w:marLeft w:val="0"/>
          <w:marRight w:val="0"/>
          <w:marTop w:val="0"/>
          <w:marBottom w:val="0"/>
          <w:divBdr>
            <w:top w:val="none" w:sz="0" w:space="0" w:color="auto"/>
            <w:left w:val="none" w:sz="0" w:space="0" w:color="auto"/>
            <w:bottom w:val="none" w:sz="0" w:space="0" w:color="auto"/>
            <w:right w:val="none" w:sz="0" w:space="0" w:color="auto"/>
          </w:divBdr>
        </w:div>
        <w:div w:id="735931258">
          <w:marLeft w:val="0"/>
          <w:marRight w:val="0"/>
          <w:marTop w:val="0"/>
          <w:marBottom w:val="0"/>
          <w:divBdr>
            <w:top w:val="none" w:sz="0" w:space="0" w:color="auto"/>
            <w:left w:val="none" w:sz="0" w:space="0" w:color="auto"/>
            <w:bottom w:val="none" w:sz="0" w:space="0" w:color="auto"/>
            <w:right w:val="none" w:sz="0" w:space="0" w:color="auto"/>
          </w:divBdr>
        </w:div>
        <w:div w:id="1392460180">
          <w:marLeft w:val="0"/>
          <w:marRight w:val="0"/>
          <w:marTop w:val="0"/>
          <w:marBottom w:val="0"/>
          <w:divBdr>
            <w:top w:val="none" w:sz="0" w:space="0" w:color="auto"/>
            <w:left w:val="none" w:sz="0" w:space="0" w:color="auto"/>
            <w:bottom w:val="none" w:sz="0" w:space="0" w:color="auto"/>
            <w:right w:val="none" w:sz="0" w:space="0" w:color="auto"/>
          </w:divBdr>
        </w:div>
        <w:div w:id="1835336090">
          <w:marLeft w:val="0"/>
          <w:marRight w:val="0"/>
          <w:marTop w:val="0"/>
          <w:marBottom w:val="0"/>
          <w:divBdr>
            <w:top w:val="none" w:sz="0" w:space="0" w:color="auto"/>
            <w:left w:val="none" w:sz="0" w:space="0" w:color="auto"/>
            <w:bottom w:val="none" w:sz="0" w:space="0" w:color="auto"/>
            <w:right w:val="none" w:sz="0" w:space="0" w:color="auto"/>
          </w:divBdr>
        </w:div>
        <w:div w:id="123163692">
          <w:marLeft w:val="0"/>
          <w:marRight w:val="0"/>
          <w:marTop w:val="0"/>
          <w:marBottom w:val="0"/>
          <w:divBdr>
            <w:top w:val="none" w:sz="0" w:space="0" w:color="auto"/>
            <w:left w:val="none" w:sz="0" w:space="0" w:color="auto"/>
            <w:bottom w:val="none" w:sz="0" w:space="0" w:color="auto"/>
            <w:right w:val="none" w:sz="0" w:space="0" w:color="auto"/>
          </w:divBdr>
        </w:div>
        <w:div w:id="1313558563">
          <w:marLeft w:val="0"/>
          <w:marRight w:val="0"/>
          <w:marTop w:val="0"/>
          <w:marBottom w:val="0"/>
          <w:divBdr>
            <w:top w:val="none" w:sz="0" w:space="0" w:color="auto"/>
            <w:left w:val="none" w:sz="0" w:space="0" w:color="auto"/>
            <w:bottom w:val="none" w:sz="0" w:space="0" w:color="auto"/>
            <w:right w:val="none" w:sz="0" w:space="0" w:color="auto"/>
          </w:divBdr>
        </w:div>
        <w:div w:id="1663007239">
          <w:marLeft w:val="0"/>
          <w:marRight w:val="0"/>
          <w:marTop w:val="0"/>
          <w:marBottom w:val="0"/>
          <w:divBdr>
            <w:top w:val="none" w:sz="0" w:space="0" w:color="auto"/>
            <w:left w:val="none" w:sz="0" w:space="0" w:color="auto"/>
            <w:bottom w:val="none" w:sz="0" w:space="0" w:color="auto"/>
            <w:right w:val="none" w:sz="0" w:space="0" w:color="auto"/>
          </w:divBdr>
        </w:div>
        <w:div w:id="394013807">
          <w:marLeft w:val="0"/>
          <w:marRight w:val="0"/>
          <w:marTop w:val="0"/>
          <w:marBottom w:val="0"/>
          <w:divBdr>
            <w:top w:val="none" w:sz="0" w:space="0" w:color="auto"/>
            <w:left w:val="none" w:sz="0" w:space="0" w:color="auto"/>
            <w:bottom w:val="none" w:sz="0" w:space="0" w:color="auto"/>
            <w:right w:val="none" w:sz="0" w:space="0" w:color="auto"/>
          </w:divBdr>
        </w:div>
        <w:div w:id="832065198">
          <w:marLeft w:val="0"/>
          <w:marRight w:val="0"/>
          <w:marTop w:val="0"/>
          <w:marBottom w:val="0"/>
          <w:divBdr>
            <w:top w:val="none" w:sz="0" w:space="0" w:color="auto"/>
            <w:left w:val="none" w:sz="0" w:space="0" w:color="auto"/>
            <w:bottom w:val="none" w:sz="0" w:space="0" w:color="auto"/>
            <w:right w:val="none" w:sz="0" w:space="0" w:color="auto"/>
          </w:divBdr>
        </w:div>
        <w:div w:id="398014769">
          <w:marLeft w:val="0"/>
          <w:marRight w:val="0"/>
          <w:marTop w:val="0"/>
          <w:marBottom w:val="0"/>
          <w:divBdr>
            <w:top w:val="none" w:sz="0" w:space="0" w:color="auto"/>
            <w:left w:val="none" w:sz="0" w:space="0" w:color="auto"/>
            <w:bottom w:val="none" w:sz="0" w:space="0" w:color="auto"/>
            <w:right w:val="none" w:sz="0" w:space="0" w:color="auto"/>
          </w:divBdr>
        </w:div>
      </w:divsChild>
    </w:div>
    <w:div w:id="788621933">
      <w:bodyDiv w:val="1"/>
      <w:marLeft w:val="0"/>
      <w:marRight w:val="0"/>
      <w:marTop w:val="0"/>
      <w:marBottom w:val="0"/>
      <w:divBdr>
        <w:top w:val="none" w:sz="0" w:space="0" w:color="auto"/>
        <w:left w:val="none" w:sz="0" w:space="0" w:color="auto"/>
        <w:bottom w:val="none" w:sz="0" w:space="0" w:color="auto"/>
        <w:right w:val="none" w:sz="0" w:space="0" w:color="auto"/>
      </w:divBdr>
    </w:div>
    <w:div w:id="799885321">
      <w:bodyDiv w:val="1"/>
      <w:marLeft w:val="0"/>
      <w:marRight w:val="0"/>
      <w:marTop w:val="0"/>
      <w:marBottom w:val="0"/>
      <w:divBdr>
        <w:top w:val="none" w:sz="0" w:space="0" w:color="auto"/>
        <w:left w:val="none" w:sz="0" w:space="0" w:color="auto"/>
        <w:bottom w:val="none" w:sz="0" w:space="0" w:color="auto"/>
        <w:right w:val="none" w:sz="0" w:space="0" w:color="auto"/>
      </w:divBdr>
    </w:div>
    <w:div w:id="1053233559">
      <w:bodyDiv w:val="1"/>
      <w:marLeft w:val="0"/>
      <w:marRight w:val="0"/>
      <w:marTop w:val="0"/>
      <w:marBottom w:val="0"/>
      <w:divBdr>
        <w:top w:val="none" w:sz="0" w:space="0" w:color="auto"/>
        <w:left w:val="none" w:sz="0" w:space="0" w:color="auto"/>
        <w:bottom w:val="none" w:sz="0" w:space="0" w:color="auto"/>
        <w:right w:val="none" w:sz="0" w:space="0" w:color="auto"/>
      </w:divBdr>
      <w:divsChild>
        <w:div w:id="532570555">
          <w:marLeft w:val="0"/>
          <w:marRight w:val="0"/>
          <w:marTop w:val="0"/>
          <w:marBottom w:val="0"/>
          <w:divBdr>
            <w:top w:val="none" w:sz="0" w:space="0" w:color="auto"/>
            <w:left w:val="none" w:sz="0" w:space="0" w:color="auto"/>
            <w:bottom w:val="none" w:sz="0" w:space="0" w:color="auto"/>
            <w:right w:val="none" w:sz="0" w:space="0" w:color="auto"/>
          </w:divBdr>
        </w:div>
        <w:div w:id="2020155504">
          <w:marLeft w:val="0"/>
          <w:marRight w:val="0"/>
          <w:marTop w:val="0"/>
          <w:marBottom w:val="0"/>
          <w:divBdr>
            <w:top w:val="none" w:sz="0" w:space="0" w:color="auto"/>
            <w:left w:val="none" w:sz="0" w:space="0" w:color="auto"/>
            <w:bottom w:val="none" w:sz="0" w:space="0" w:color="auto"/>
            <w:right w:val="none" w:sz="0" w:space="0" w:color="auto"/>
          </w:divBdr>
        </w:div>
        <w:div w:id="1913543918">
          <w:marLeft w:val="0"/>
          <w:marRight w:val="0"/>
          <w:marTop w:val="0"/>
          <w:marBottom w:val="0"/>
          <w:divBdr>
            <w:top w:val="none" w:sz="0" w:space="0" w:color="auto"/>
            <w:left w:val="none" w:sz="0" w:space="0" w:color="auto"/>
            <w:bottom w:val="none" w:sz="0" w:space="0" w:color="auto"/>
            <w:right w:val="none" w:sz="0" w:space="0" w:color="auto"/>
          </w:divBdr>
        </w:div>
        <w:div w:id="1067804439">
          <w:marLeft w:val="0"/>
          <w:marRight w:val="0"/>
          <w:marTop w:val="0"/>
          <w:marBottom w:val="0"/>
          <w:divBdr>
            <w:top w:val="none" w:sz="0" w:space="0" w:color="auto"/>
            <w:left w:val="none" w:sz="0" w:space="0" w:color="auto"/>
            <w:bottom w:val="none" w:sz="0" w:space="0" w:color="auto"/>
            <w:right w:val="none" w:sz="0" w:space="0" w:color="auto"/>
          </w:divBdr>
        </w:div>
        <w:div w:id="93213471">
          <w:marLeft w:val="0"/>
          <w:marRight w:val="0"/>
          <w:marTop w:val="0"/>
          <w:marBottom w:val="0"/>
          <w:divBdr>
            <w:top w:val="none" w:sz="0" w:space="0" w:color="auto"/>
            <w:left w:val="none" w:sz="0" w:space="0" w:color="auto"/>
            <w:bottom w:val="none" w:sz="0" w:space="0" w:color="auto"/>
            <w:right w:val="none" w:sz="0" w:space="0" w:color="auto"/>
          </w:divBdr>
        </w:div>
        <w:div w:id="1569880816">
          <w:marLeft w:val="0"/>
          <w:marRight w:val="0"/>
          <w:marTop w:val="0"/>
          <w:marBottom w:val="0"/>
          <w:divBdr>
            <w:top w:val="none" w:sz="0" w:space="0" w:color="auto"/>
            <w:left w:val="none" w:sz="0" w:space="0" w:color="auto"/>
            <w:bottom w:val="none" w:sz="0" w:space="0" w:color="auto"/>
            <w:right w:val="none" w:sz="0" w:space="0" w:color="auto"/>
          </w:divBdr>
        </w:div>
        <w:div w:id="63534693">
          <w:marLeft w:val="0"/>
          <w:marRight w:val="0"/>
          <w:marTop w:val="0"/>
          <w:marBottom w:val="0"/>
          <w:divBdr>
            <w:top w:val="none" w:sz="0" w:space="0" w:color="auto"/>
            <w:left w:val="none" w:sz="0" w:space="0" w:color="auto"/>
            <w:bottom w:val="none" w:sz="0" w:space="0" w:color="auto"/>
            <w:right w:val="none" w:sz="0" w:space="0" w:color="auto"/>
          </w:divBdr>
        </w:div>
        <w:div w:id="816609605">
          <w:marLeft w:val="0"/>
          <w:marRight w:val="0"/>
          <w:marTop w:val="0"/>
          <w:marBottom w:val="0"/>
          <w:divBdr>
            <w:top w:val="none" w:sz="0" w:space="0" w:color="auto"/>
            <w:left w:val="none" w:sz="0" w:space="0" w:color="auto"/>
            <w:bottom w:val="none" w:sz="0" w:space="0" w:color="auto"/>
            <w:right w:val="none" w:sz="0" w:space="0" w:color="auto"/>
          </w:divBdr>
        </w:div>
        <w:div w:id="108473546">
          <w:marLeft w:val="0"/>
          <w:marRight w:val="0"/>
          <w:marTop w:val="0"/>
          <w:marBottom w:val="0"/>
          <w:divBdr>
            <w:top w:val="none" w:sz="0" w:space="0" w:color="auto"/>
            <w:left w:val="none" w:sz="0" w:space="0" w:color="auto"/>
            <w:bottom w:val="none" w:sz="0" w:space="0" w:color="auto"/>
            <w:right w:val="none" w:sz="0" w:space="0" w:color="auto"/>
          </w:divBdr>
        </w:div>
        <w:div w:id="1211839587">
          <w:marLeft w:val="0"/>
          <w:marRight w:val="0"/>
          <w:marTop w:val="0"/>
          <w:marBottom w:val="0"/>
          <w:divBdr>
            <w:top w:val="none" w:sz="0" w:space="0" w:color="auto"/>
            <w:left w:val="none" w:sz="0" w:space="0" w:color="auto"/>
            <w:bottom w:val="none" w:sz="0" w:space="0" w:color="auto"/>
            <w:right w:val="none" w:sz="0" w:space="0" w:color="auto"/>
          </w:divBdr>
        </w:div>
      </w:divsChild>
    </w:div>
    <w:div w:id="1362129856">
      <w:bodyDiv w:val="1"/>
      <w:marLeft w:val="0"/>
      <w:marRight w:val="0"/>
      <w:marTop w:val="0"/>
      <w:marBottom w:val="0"/>
      <w:divBdr>
        <w:top w:val="none" w:sz="0" w:space="0" w:color="auto"/>
        <w:left w:val="none" w:sz="0" w:space="0" w:color="auto"/>
        <w:bottom w:val="none" w:sz="0" w:space="0" w:color="auto"/>
        <w:right w:val="none" w:sz="0" w:space="0" w:color="auto"/>
      </w:divBdr>
      <w:divsChild>
        <w:div w:id="675309455">
          <w:marLeft w:val="0"/>
          <w:marRight w:val="0"/>
          <w:marTop w:val="0"/>
          <w:marBottom w:val="0"/>
          <w:divBdr>
            <w:top w:val="none" w:sz="0" w:space="0" w:color="auto"/>
            <w:left w:val="none" w:sz="0" w:space="0" w:color="auto"/>
            <w:bottom w:val="none" w:sz="0" w:space="0" w:color="auto"/>
            <w:right w:val="none" w:sz="0" w:space="0" w:color="auto"/>
          </w:divBdr>
        </w:div>
        <w:div w:id="205215920">
          <w:marLeft w:val="0"/>
          <w:marRight w:val="0"/>
          <w:marTop w:val="0"/>
          <w:marBottom w:val="0"/>
          <w:divBdr>
            <w:top w:val="none" w:sz="0" w:space="0" w:color="auto"/>
            <w:left w:val="none" w:sz="0" w:space="0" w:color="auto"/>
            <w:bottom w:val="none" w:sz="0" w:space="0" w:color="auto"/>
            <w:right w:val="none" w:sz="0" w:space="0" w:color="auto"/>
          </w:divBdr>
        </w:div>
        <w:div w:id="1964456026">
          <w:marLeft w:val="0"/>
          <w:marRight w:val="0"/>
          <w:marTop w:val="0"/>
          <w:marBottom w:val="0"/>
          <w:divBdr>
            <w:top w:val="none" w:sz="0" w:space="0" w:color="auto"/>
            <w:left w:val="none" w:sz="0" w:space="0" w:color="auto"/>
            <w:bottom w:val="none" w:sz="0" w:space="0" w:color="auto"/>
            <w:right w:val="none" w:sz="0" w:space="0" w:color="auto"/>
          </w:divBdr>
        </w:div>
        <w:div w:id="1964994970">
          <w:marLeft w:val="0"/>
          <w:marRight w:val="0"/>
          <w:marTop w:val="0"/>
          <w:marBottom w:val="0"/>
          <w:divBdr>
            <w:top w:val="none" w:sz="0" w:space="0" w:color="auto"/>
            <w:left w:val="none" w:sz="0" w:space="0" w:color="auto"/>
            <w:bottom w:val="none" w:sz="0" w:space="0" w:color="auto"/>
            <w:right w:val="none" w:sz="0" w:space="0" w:color="auto"/>
          </w:divBdr>
        </w:div>
        <w:div w:id="987709379">
          <w:marLeft w:val="0"/>
          <w:marRight w:val="0"/>
          <w:marTop w:val="0"/>
          <w:marBottom w:val="0"/>
          <w:divBdr>
            <w:top w:val="none" w:sz="0" w:space="0" w:color="auto"/>
            <w:left w:val="none" w:sz="0" w:space="0" w:color="auto"/>
            <w:bottom w:val="none" w:sz="0" w:space="0" w:color="auto"/>
            <w:right w:val="none" w:sz="0" w:space="0" w:color="auto"/>
          </w:divBdr>
        </w:div>
        <w:div w:id="865367316">
          <w:marLeft w:val="0"/>
          <w:marRight w:val="0"/>
          <w:marTop w:val="0"/>
          <w:marBottom w:val="0"/>
          <w:divBdr>
            <w:top w:val="none" w:sz="0" w:space="0" w:color="auto"/>
            <w:left w:val="none" w:sz="0" w:space="0" w:color="auto"/>
            <w:bottom w:val="none" w:sz="0" w:space="0" w:color="auto"/>
            <w:right w:val="none" w:sz="0" w:space="0" w:color="auto"/>
          </w:divBdr>
        </w:div>
        <w:div w:id="912206427">
          <w:marLeft w:val="0"/>
          <w:marRight w:val="0"/>
          <w:marTop w:val="0"/>
          <w:marBottom w:val="0"/>
          <w:divBdr>
            <w:top w:val="none" w:sz="0" w:space="0" w:color="auto"/>
            <w:left w:val="none" w:sz="0" w:space="0" w:color="auto"/>
            <w:bottom w:val="none" w:sz="0" w:space="0" w:color="auto"/>
            <w:right w:val="none" w:sz="0" w:space="0" w:color="auto"/>
          </w:divBdr>
        </w:div>
        <w:div w:id="2065054942">
          <w:marLeft w:val="0"/>
          <w:marRight w:val="0"/>
          <w:marTop w:val="0"/>
          <w:marBottom w:val="0"/>
          <w:divBdr>
            <w:top w:val="none" w:sz="0" w:space="0" w:color="auto"/>
            <w:left w:val="none" w:sz="0" w:space="0" w:color="auto"/>
            <w:bottom w:val="none" w:sz="0" w:space="0" w:color="auto"/>
            <w:right w:val="none" w:sz="0" w:space="0" w:color="auto"/>
          </w:divBdr>
        </w:div>
        <w:div w:id="811093425">
          <w:marLeft w:val="0"/>
          <w:marRight w:val="0"/>
          <w:marTop w:val="0"/>
          <w:marBottom w:val="0"/>
          <w:divBdr>
            <w:top w:val="none" w:sz="0" w:space="0" w:color="auto"/>
            <w:left w:val="none" w:sz="0" w:space="0" w:color="auto"/>
            <w:bottom w:val="none" w:sz="0" w:space="0" w:color="auto"/>
            <w:right w:val="none" w:sz="0" w:space="0" w:color="auto"/>
          </w:divBdr>
        </w:div>
        <w:div w:id="322662043">
          <w:marLeft w:val="0"/>
          <w:marRight w:val="0"/>
          <w:marTop w:val="0"/>
          <w:marBottom w:val="0"/>
          <w:divBdr>
            <w:top w:val="none" w:sz="0" w:space="0" w:color="auto"/>
            <w:left w:val="none" w:sz="0" w:space="0" w:color="auto"/>
            <w:bottom w:val="none" w:sz="0" w:space="0" w:color="auto"/>
            <w:right w:val="none" w:sz="0" w:space="0" w:color="auto"/>
          </w:divBdr>
        </w:div>
      </w:divsChild>
    </w:div>
    <w:div w:id="1578980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upr@tc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lectronics.tcl.com/en/cg/esg.ph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ea1e84cc1bc042b8" Type="http://schemas.microsoft.com/office/2019/05/relationships/documenttasks" Target="tasks.xml"/><Relationship Id="rId5" Type="http://schemas.openxmlformats.org/officeDocument/2006/relationships/styles" Target="styles.xml"/><Relationship Id="rId15" Type="http://schemas.openxmlformats.org/officeDocument/2006/relationships/hyperlink" Target="https://electronics.tcl.com/en/cg/esg.php" TargetMode="External"/><Relationship Id="rId28" Type="http://schemas.microsoft.com/office/2018/08/relationships/commentsExtensible" Target="commentsExtensible.xml"/><Relationship Id="rId10" Type="http://schemas.openxmlformats.org/officeDocument/2006/relationships/image" Target="media/image1.jpg"/><Relationship Id="Rf87757b655b046bb"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cl-eu.com/mwc2024/tcl_gr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A49C638831C94A9A8AE8BB5C36E40E" ma:contentTypeVersion="15" ma:contentTypeDescription="Create a new document." ma:contentTypeScope="" ma:versionID="0cc6ff1bbe1133c0ad2b77d97ea7537f">
  <xsd:schema xmlns:xsd="http://www.w3.org/2001/XMLSchema" xmlns:xs="http://www.w3.org/2001/XMLSchema" xmlns:p="http://schemas.microsoft.com/office/2006/metadata/properties" xmlns:ns2="12ea6d98-8f1d-4e66-bcef-01857e145ad1" xmlns:ns3="1f68a1ba-b752-46d5-97e3-9ccfd27105c2" targetNamespace="http://schemas.microsoft.com/office/2006/metadata/properties" ma:root="true" ma:fieldsID="6a303da5922ad75892003e3a5a848e94" ns2:_="" ns3:_="">
    <xsd:import namespace="12ea6d98-8f1d-4e66-bcef-01857e145ad1"/>
    <xsd:import namespace="1f68a1ba-b752-46d5-97e3-9ccfd27105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a6d98-8f1d-4e66-bcef-01857e145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2b0048a-7d80-4399-997b-f60a829fd7b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68a1ba-b752-46d5-97e3-9ccfd27105c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e20977e-f582-4e51-b446-2ab56609f3a1}" ma:internalName="TaxCatchAll" ma:showField="CatchAllData" ma:web="1f68a1ba-b752-46d5-97e3-9ccfd27105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ea6d98-8f1d-4e66-bcef-01857e145ad1">
      <Terms xmlns="http://schemas.microsoft.com/office/infopath/2007/PartnerControls"/>
    </lcf76f155ced4ddcb4097134ff3c332f>
    <TaxCatchAll xmlns="1f68a1ba-b752-46d5-97e3-9ccfd27105c2" xsi:nil="true"/>
  </documentManagement>
</p:properties>
</file>

<file path=customXml/itemProps1.xml><?xml version="1.0" encoding="utf-8"?>
<ds:datastoreItem xmlns:ds="http://schemas.openxmlformats.org/officeDocument/2006/customXml" ds:itemID="{872B7249-40F9-40AA-8E54-E7EBB42CC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a6d98-8f1d-4e66-bcef-01857e145ad1"/>
    <ds:schemaRef ds:uri="1f68a1ba-b752-46d5-97e3-9ccfd2710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ED2B38-0CE3-4039-9AD4-EF19810898C0}">
  <ds:schemaRefs>
    <ds:schemaRef ds:uri="http://schemas.microsoft.com/sharepoint/v3/contenttype/forms"/>
  </ds:schemaRefs>
</ds:datastoreItem>
</file>

<file path=customXml/itemProps3.xml><?xml version="1.0" encoding="utf-8"?>
<ds:datastoreItem xmlns:ds="http://schemas.openxmlformats.org/officeDocument/2006/customXml" ds:itemID="{B3B29D45-51A0-4A86-8F1D-6577301069DD}">
  <ds:schemaRefs>
    <ds:schemaRef ds:uri="http://schemas.microsoft.com/office/2006/metadata/properties"/>
    <ds:schemaRef ds:uri="http://schemas.microsoft.com/office/infopath/2007/PartnerControls"/>
    <ds:schemaRef ds:uri="12ea6d98-8f1d-4e66-bcef-01857e145ad1"/>
    <ds:schemaRef ds:uri="1f68a1ba-b752-46d5-97e3-9ccfd27105c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6653</Characters>
  <Application>Microsoft Office Word</Application>
  <DocSecurity>0</DocSecurity>
  <Lines>55</Lines>
  <Paragraphs>15</Paragraphs>
  <ScaleCrop>false</ScaleCrop>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Foster</dc:creator>
  <cp:keywords/>
  <dc:description/>
  <cp:lastModifiedBy>Julia</cp:lastModifiedBy>
  <cp:revision>3</cp:revision>
  <dcterms:created xsi:type="dcterms:W3CDTF">2024-05-14T15:24:00Z</dcterms:created>
  <dcterms:modified xsi:type="dcterms:W3CDTF">2024-05-14T15:31:00Z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0x010100BDA49C638831C94A9A8AE8BB5C36E40E</vt:lpwstr>
  </property>
  <property fmtid="{D5CDD505-2E9C-101B-9397-08002B2CF9AE}" pid="3" name="MediaServiceImageTags">
    <vt:lpwstr/>
  </property>
</Properties>
</file>